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B7FA3E">
      <w:pPr>
        <w:spacing w:line="280" w:lineRule="auto"/>
        <w:rPr>
          <w:rFonts w:ascii="Arial"/>
          <w:sz w:val="21"/>
        </w:rPr>
      </w:pPr>
    </w:p>
    <w:p w14:paraId="08B1F761">
      <w:pPr>
        <w:tabs>
          <w:tab w:val="left" w:pos="10561"/>
        </w:tabs>
        <w:spacing w:line="281" w:lineRule="auto"/>
        <w:rPr>
          <w:rFonts w:hint="eastAsia" w:ascii="Arial" w:eastAsia="仿宋_GB2312"/>
          <w:sz w:val="21"/>
          <w:lang w:val="en-US" w:eastAsia="zh-CN"/>
        </w:rPr>
      </w:pPr>
    </w:p>
    <w:p w14:paraId="0F38DB75">
      <w:pPr>
        <w:tabs>
          <w:tab w:val="left" w:pos="10561"/>
        </w:tabs>
        <w:spacing w:line="281" w:lineRule="auto"/>
        <w:rPr>
          <w:rFonts w:hint="eastAsia" w:ascii="Arial" w:eastAsia="仿宋_GB2312"/>
          <w:sz w:val="21"/>
          <w:lang w:val="en-US" w:eastAsia="zh-CN"/>
        </w:rPr>
      </w:pPr>
    </w:p>
    <w:p w14:paraId="50455700">
      <w:pPr>
        <w:tabs>
          <w:tab w:val="left" w:pos="10561"/>
        </w:tabs>
        <w:spacing w:line="281" w:lineRule="auto"/>
        <w:rPr>
          <w:rFonts w:hint="eastAsia" w:ascii="Arial" w:eastAsia="仿宋_GB2312"/>
          <w:sz w:val="21"/>
          <w:lang w:val="en-US" w:eastAsia="zh-CN"/>
        </w:rPr>
      </w:pPr>
    </w:p>
    <w:p w14:paraId="25C5FB1E">
      <w:pPr>
        <w:tabs>
          <w:tab w:val="left" w:pos="10561"/>
        </w:tabs>
        <w:spacing w:line="281" w:lineRule="auto"/>
        <w:rPr>
          <w:rFonts w:hint="eastAsia" w:ascii="Arial" w:eastAsia="仿宋_GB2312"/>
          <w:sz w:val="21"/>
          <w:lang w:val="en-US" w:eastAsia="zh-CN"/>
        </w:rPr>
      </w:pPr>
    </w:p>
    <w:p w14:paraId="0142408E">
      <w:pPr>
        <w:spacing w:line="281" w:lineRule="auto"/>
        <w:rPr>
          <w:rFonts w:ascii="Arial"/>
          <w:sz w:val="21"/>
        </w:rPr>
      </w:pPr>
    </w:p>
    <w:p w14:paraId="3858FAD2">
      <w:pPr>
        <w:spacing w:line="240" w:lineRule="auto"/>
        <w:ind w:left="0" w:leftChars="0" w:firstLine="0" w:firstLineChars="0"/>
      </w:pPr>
    </w:p>
    <w:p w14:paraId="3247A683">
      <w:pPr>
        <w:spacing w:before="367" w:line="226" w:lineRule="auto"/>
        <w:ind w:right="1159"/>
        <w:jc w:val="center"/>
        <w:outlineLvl w:val="0"/>
        <w:rPr>
          <w:rFonts w:ascii="黑体" w:hAnsi="黑体" w:eastAsia="黑体" w:cs="黑体"/>
          <w:b/>
          <w:bCs/>
          <w:spacing w:val="-6"/>
          <w:sz w:val="52"/>
          <w:szCs w:val="52"/>
        </w:rPr>
      </w:pPr>
      <w:bookmarkStart w:id="0" w:name="_Toc1965"/>
      <w:bookmarkStart w:id="1" w:name="_Toc22430"/>
      <w:r>
        <w:rPr>
          <w:rFonts w:hint="eastAsia" w:ascii="黑体" w:hAnsi="黑体" w:eastAsia="黑体" w:cs="黑体"/>
          <w:b/>
          <w:bCs/>
          <w:spacing w:val="28"/>
          <w:sz w:val="52"/>
          <w:szCs w:val="52"/>
          <w:lang w:val="en-US" w:eastAsia="zh-CN"/>
        </w:rPr>
        <w:t>2024年</w:t>
      </w:r>
      <w:r>
        <w:rPr>
          <w:rFonts w:ascii="黑体" w:hAnsi="黑体" w:eastAsia="黑体" w:cs="黑体"/>
          <w:b/>
          <w:bCs/>
          <w:spacing w:val="28"/>
          <w:sz w:val="52"/>
          <w:szCs w:val="52"/>
        </w:rPr>
        <w:t>中国有色金属</w:t>
      </w:r>
      <w:r>
        <w:rPr>
          <w:rFonts w:hint="eastAsia" w:ascii="黑体" w:hAnsi="黑体" w:eastAsia="黑体" w:cs="黑体"/>
          <w:b/>
          <w:bCs/>
          <w:spacing w:val="28"/>
          <w:sz w:val="52"/>
          <w:szCs w:val="52"/>
          <w:lang w:val="en-US" w:eastAsia="zh-CN"/>
        </w:rPr>
        <w:t>工业</w:t>
      </w:r>
      <w:r>
        <w:rPr>
          <w:rFonts w:ascii="黑体" w:hAnsi="黑体" w:eastAsia="黑体" w:cs="黑体"/>
          <w:b/>
          <w:bCs/>
          <w:spacing w:val="-6"/>
          <w:sz w:val="52"/>
          <w:szCs w:val="52"/>
        </w:rPr>
        <w:t>发展报告</w:t>
      </w:r>
      <w:bookmarkEnd w:id="0"/>
      <w:bookmarkEnd w:id="1"/>
    </w:p>
    <w:p w14:paraId="39244D80">
      <w:pPr>
        <w:spacing w:before="367" w:line="226" w:lineRule="auto"/>
        <w:ind w:right="1159"/>
        <w:jc w:val="center"/>
        <w:outlineLvl w:val="0"/>
        <w:rPr>
          <w:rFonts w:hint="eastAsia" w:ascii="黑体" w:hAnsi="黑体" w:eastAsia="黑体" w:cs="黑体"/>
          <w:sz w:val="52"/>
          <w:szCs w:val="52"/>
          <w:lang w:eastAsia="zh-CN"/>
        </w:rPr>
      </w:pPr>
      <w:r>
        <w:rPr>
          <w:rFonts w:hint="eastAsia" w:ascii="黑体" w:hAnsi="黑体" w:eastAsia="黑体" w:cs="黑体"/>
          <w:b/>
          <w:bCs/>
          <w:spacing w:val="-6"/>
          <w:sz w:val="52"/>
          <w:szCs w:val="52"/>
          <w:lang w:eastAsia="zh-CN"/>
        </w:rPr>
        <w:t>（</w:t>
      </w:r>
      <w:r>
        <w:rPr>
          <w:rFonts w:hint="eastAsia" w:ascii="黑体" w:hAnsi="黑体" w:eastAsia="黑体" w:cs="黑体"/>
          <w:b/>
          <w:bCs/>
          <w:spacing w:val="-6"/>
          <w:sz w:val="52"/>
          <w:szCs w:val="52"/>
          <w:lang w:val="en-US" w:eastAsia="zh-CN"/>
        </w:rPr>
        <w:t>综合篇</w:t>
      </w:r>
      <w:r>
        <w:rPr>
          <w:rFonts w:hint="eastAsia" w:ascii="黑体" w:hAnsi="黑体" w:eastAsia="黑体" w:cs="黑体"/>
          <w:b/>
          <w:bCs/>
          <w:spacing w:val="-6"/>
          <w:sz w:val="52"/>
          <w:szCs w:val="52"/>
          <w:lang w:eastAsia="zh-CN"/>
        </w:rPr>
        <w:t>）</w:t>
      </w:r>
    </w:p>
    <w:p w14:paraId="452A891C">
      <w:pPr>
        <w:spacing w:line="334" w:lineRule="auto"/>
        <w:rPr>
          <w:rFonts w:ascii="Arial"/>
          <w:sz w:val="21"/>
        </w:rPr>
      </w:pPr>
      <w:r>
        <w:drawing>
          <wp:anchor distT="0" distB="0" distL="0" distR="0" simplePos="0" relativeHeight="251660288" behindDoc="0" locked="0" layoutInCell="1" allowOverlap="1">
            <wp:simplePos x="0" y="0"/>
            <wp:positionH relativeFrom="column">
              <wp:posOffset>3161030</wp:posOffset>
            </wp:positionH>
            <wp:positionV relativeFrom="paragraph">
              <wp:posOffset>215900</wp:posOffset>
            </wp:positionV>
            <wp:extent cx="2800350" cy="635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
                    <a:stretch>
                      <a:fillRect/>
                    </a:stretch>
                  </pic:blipFill>
                  <pic:spPr>
                    <a:xfrm>
                      <a:off x="0" y="0"/>
                      <a:ext cx="2800350" cy="6368"/>
                    </a:xfrm>
                    <a:prstGeom prst="rect">
                      <a:avLst/>
                    </a:prstGeom>
                  </pic:spPr>
                </pic:pic>
              </a:graphicData>
            </a:graphic>
          </wp:anchor>
        </w:drawing>
      </w:r>
    </w:p>
    <w:p w14:paraId="5B41FEB5">
      <w:pPr>
        <w:spacing w:before="94"/>
        <w:jc w:val="both"/>
        <w:rPr>
          <w:rFonts w:ascii="楷体" w:hAnsi="楷体" w:eastAsia="楷体" w:cs="楷体"/>
          <w:spacing w:val="-1"/>
          <w:sz w:val="29"/>
          <w:szCs w:val="29"/>
        </w:rPr>
      </w:pPr>
    </w:p>
    <w:p w14:paraId="04DE687A">
      <w:pPr>
        <w:spacing w:line="255" w:lineRule="auto"/>
        <w:rPr>
          <w:rFonts w:ascii="Arial"/>
          <w:sz w:val="21"/>
        </w:rPr>
      </w:pPr>
      <w:r>
        <w:drawing>
          <wp:anchor distT="0" distB="0" distL="0" distR="0" simplePos="0" relativeHeight="251661312" behindDoc="0" locked="0" layoutInCell="1" allowOverlap="1">
            <wp:simplePos x="0" y="0"/>
            <wp:positionH relativeFrom="column">
              <wp:posOffset>3184525</wp:posOffset>
            </wp:positionH>
            <wp:positionV relativeFrom="paragraph">
              <wp:posOffset>31750</wp:posOffset>
            </wp:positionV>
            <wp:extent cx="2794000" cy="635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stretch>
                      <a:fillRect/>
                    </a:stretch>
                  </pic:blipFill>
                  <pic:spPr>
                    <a:xfrm>
                      <a:off x="0" y="0"/>
                      <a:ext cx="2794002" cy="6368"/>
                    </a:xfrm>
                    <a:prstGeom prst="rect">
                      <a:avLst/>
                    </a:prstGeom>
                  </pic:spPr>
                </pic:pic>
              </a:graphicData>
            </a:graphic>
          </wp:anchor>
        </w:drawing>
      </w:r>
      <w:r>
        <w:drawing>
          <wp:anchor distT="0" distB="0" distL="0" distR="0" simplePos="0" relativeHeight="251670528" behindDoc="0" locked="0" layoutInCell="1" allowOverlap="1">
            <wp:simplePos x="0" y="0"/>
            <wp:positionH relativeFrom="column">
              <wp:posOffset>3161030</wp:posOffset>
            </wp:positionH>
            <wp:positionV relativeFrom="paragraph">
              <wp:posOffset>215900</wp:posOffset>
            </wp:positionV>
            <wp:extent cx="2800350" cy="6350"/>
            <wp:effectExtent l="0" t="0" r="0" b="0"/>
            <wp:wrapNone/>
            <wp:docPr id="15" name="IM 4"/>
            <wp:cNvGraphicFramePr/>
            <a:graphic xmlns:a="http://schemas.openxmlformats.org/drawingml/2006/main">
              <a:graphicData uri="http://schemas.openxmlformats.org/drawingml/2006/picture">
                <pic:pic xmlns:pic="http://schemas.openxmlformats.org/drawingml/2006/picture">
                  <pic:nvPicPr>
                    <pic:cNvPr id="15" name="IM 4"/>
                    <pic:cNvPicPr/>
                  </pic:nvPicPr>
                  <pic:blipFill>
                    <a:blip r:embed="rId11"/>
                    <a:stretch>
                      <a:fillRect/>
                    </a:stretch>
                  </pic:blipFill>
                  <pic:spPr>
                    <a:xfrm>
                      <a:off x="0" y="0"/>
                      <a:ext cx="2800350" cy="6368"/>
                    </a:xfrm>
                    <a:prstGeom prst="rect">
                      <a:avLst/>
                    </a:prstGeom>
                  </pic:spPr>
                </pic:pic>
              </a:graphicData>
            </a:graphic>
          </wp:anchor>
        </w:drawing>
      </w:r>
    </w:p>
    <w:p w14:paraId="626F029E">
      <w:pPr>
        <w:spacing w:before="94"/>
        <w:ind w:left="2359"/>
        <w:jc w:val="both"/>
        <w:rPr>
          <w:rFonts w:ascii="楷体" w:hAnsi="楷体" w:eastAsia="楷体" w:cs="楷体"/>
          <w:spacing w:val="-1"/>
          <w:sz w:val="32"/>
          <w:szCs w:val="32"/>
        </w:rPr>
      </w:pPr>
      <w:r>
        <w:rPr>
          <w:rFonts w:ascii="楷体" w:hAnsi="楷体" w:eastAsia="楷体" w:cs="楷体"/>
          <w:spacing w:val="-1"/>
          <w:sz w:val="32"/>
          <w:szCs w:val="32"/>
        </w:rPr>
        <w:t>中国有色金属工业协会编</w:t>
      </w:r>
    </w:p>
    <w:p w14:paraId="5D0EDF3C">
      <w:pPr>
        <w:tabs>
          <w:tab w:val="center" w:pos="3940"/>
        </w:tabs>
        <w:bidi w:val="0"/>
        <w:ind w:left="0" w:leftChars="0" w:firstLine="0" w:firstLineChars="0"/>
        <w:jc w:val="left"/>
        <w:rPr>
          <w:rFonts w:hint="default" w:eastAsia="仿宋"/>
          <w:sz w:val="32"/>
          <w:szCs w:val="32"/>
          <w:lang w:val="en-US" w:eastAsia="zh-CN"/>
        </w:rPr>
      </w:pPr>
      <w:r>
        <w:rPr>
          <w:rFonts w:hint="eastAsia" w:eastAsia="仿宋"/>
          <w:lang w:val="en-US" w:eastAsia="zh-CN"/>
        </w:rPr>
        <w:t xml:space="preserve">                                      </w:t>
      </w:r>
      <w:r>
        <w:rPr>
          <w:rFonts w:hint="eastAsia" w:eastAsia="仿宋"/>
          <w:sz w:val="32"/>
          <w:szCs w:val="32"/>
          <w:lang w:val="en-US" w:eastAsia="zh-CN"/>
        </w:rPr>
        <w:t>黑龙江省金属学会选摘</w:t>
      </w:r>
    </w:p>
    <w:p w14:paraId="641620BA">
      <w:pPr>
        <w:tabs>
          <w:tab w:val="center" w:pos="3940"/>
        </w:tabs>
        <w:bidi w:val="0"/>
        <w:ind w:left="0" w:leftChars="0" w:firstLine="0" w:firstLineChars="0"/>
        <w:jc w:val="left"/>
        <w:rPr>
          <w:rFonts w:hint="default" w:eastAsia="仿宋"/>
          <w:lang w:val="en-US" w:eastAsia="zh-CN"/>
        </w:rPr>
        <w:sectPr>
          <w:footerReference r:id="rId5" w:type="default"/>
          <w:pgSz w:w="11906" w:h="16838"/>
          <w:pgMar w:top="1003" w:right="519" w:bottom="1541" w:left="0" w:header="0" w:footer="1397" w:gutter="0"/>
          <w:pgNumType w:fmt="upperRoman"/>
          <w:cols w:space="720" w:num="1"/>
        </w:sectPr>
      </w:pPr>
      <w:r>
        <w:rPr>
          <w:rFonts w:hint="eastAsia" w:eastAsia="仿宋"/>
          <w:lang w:val="en-US" w:eastAsia="zh-CN"/>
        </w:rPr>
        <w:t xml:space="preserve">                           </w:t>
      </w:r>
      <w:bookmarkStart w:id="23" w:name="_GoBack"/>
      <w:bookmarkEnd w:id="23"/>
    </w:p>
    <w:p w14:paraId="5215CFCE">
      <w:pPr>
        <w:pStyle w:val="2"/>
        <w:widowControl/>
        <w:jc w:val="center"/>
        <w:rPr>
          <w:rFonts w:ascii="Arial"/>
          <w:sz w:val="21"/>
        </w:rPr>
      </w:pPr>
      <w:bookmarkStart w:id="2" w:name="_Toc24473"/>
      <w:r>
        <w:t>前</w:t>
      </w:r>
      <w:r>
        <w:rPr>
          <w:rFonts w:hint="eastAsia"/>
          <w:lang w:val="en-US" w:eastAsia="zh-CN"/>
        </w:rPr>
        <w:t xml:space="preserve">     </w:t>
      </w:r>
      <w:r>
        <w:t>言</w:t>
      </w:r>
      <w:bookmarkEnd w:id="2"/>
    </w:p>
    <w:p w14:paraId="1AB9ABDF">
      <w:pPr>
        <w:bidi w:val="0"/>
      </w:pPr>
      <w:r>
        <w:drawing>
          <wp:anchor distT="0" distB="0" distL="0" distR="0" simplePos="0" relativeHeight="251664384" behindDoc="0" locked="0" layoutInCell="1" allowOverlap="1">
            <wp:simplePos x="0" y="0"/>
            <wp:positionH relativeFrom="column">
              <wp:posOffset>2477135</wp:posOffset>
            </wp:positionH>
            <wp:positionV relativeFrom="paragraph">
              <wp:posOffset>43815</wp:posOffset>
            </wp:positionV>
            <wp:extent cx="1351915" cy="177800"/>
            <wp:effectExtent l="0" t="0" r="6985" b="0"/>
            <wp:wrapTopAndBottom/>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3"/>
                    <a:stretch>
                      <a:fillRect/>
                    </a:stretch>
                  </pic:blipFill>
                  <pic:spPr>
                    <a:xfrm>
                      <a:off x="0" y="0"/>
                      <a:ext cx="1352542" cy="177806"/>
                    </a:xfrm>
                    <a:prstGeom prst="rect">
                      <a:avLst/>
                    </a:prstGeom>
                  </pic:spPr>
                </pic:pic>
              </a:graphicData>
            </a:graphic>
          </wp:anchor>
        </w:drawing>
      </w:r>
      <w:r>
        <w:t>2024年，是实现“十四五”规划目标任务的关键一年。面对外部压力加大、内部困难增多的复杂严峻形势，在以习近平同志为核心的党中央坚强领导下，有色金属行业企业认真贯彻落实党中央、国务院稳经济增长的决策部署，持续优化产业结构、加快培育新质生产力，产业运行总体稳中有进，延续了良好发展态势。</w:t>
      </w:r>
    </w:p>
    <w:p w14:paraId="2198A8E4">
      <w:pPr>
        <w:bidi w:val="0"/>
      </w:pPr>
      <w:r>
        <w:t>2024年，十种常用有色金属产量7919万吨，同比增长4.3%,约占全球有色金属产量的60%;完成固定资产投资同比增长24.7%,比同期全国增幅高12.6个百分点；进出口贸易稳中有升；行业规上企业实现营业收入9万亿元，实现利润4239亿元，创历史新高。总体来看，有色金属行业实现了向上向好的发展态势，在传统原材料工业中，呈现出“风景这边独好”的可喜局面。</w:t>
      </w:r>
    </w:p>
    <w:p w14:paraId="6E27FFF8">
      <w:pPr>
        <w:bidi w:val="0"/>
      </w:pPr>
      <w:r>
        <w:t>“十四五”时期是开启全面建设社会主义现代化国家新征程的第一个五年。“十四五”规划实施四年来，我国有色金属产业转型升级成效明显，高质量发展稳步推进，正加快由传统制造向先进制造迈进。</w:t>
      </w:r>
    </w:p>
    <w:p w14:paraId="412595C5">
      <w:pPr>
        <w:bidi w:val="0"/>
      </w:pPr>
      <w:r>
        <w:t>——主要经济指标持续增长。十种有色金属产量年均增幅为5.9%,以锂、硅为代表的“新兴矿产”为我国“新三样”等战略新兴产业发展提供了坚实支撑。行业效益连续四年均超过3000亿元。</w:t>
      </w:r>
    </w:p>
    <w:p w14:paraId="5ECE03DA">
      <w:pPr>
        <w:bidi w:val="0"/>
      </w:pPr>
      <w:r>
        <w:t>——资源保障能力显著提升。到2024年底，中资企业境外权益矿铜产量占我国铜精矿需求近30%;境外权益铝土矿产量超过9000万吨，占进口铝土矿的比例超过60%;境外镍、钴、锂资源量分别达到2200万吨、800万吨、7000万吨(LCE)。</w:t>
      </w:r>
    </w:p>
    <w:p w14:paraId="2A38DE7B">
      <w:pPr>
        <w:bidi w:val="0"/>
      </w:pPr>
      <w:r>
        <w:t>——产业结构显著优化。突破了一批关键技术装备，产业化技术日臻成熟并不断迭代升级；新能源材料研发应用技术达到世界先进水平；成立中国稀土</w:t>
      </w:r>
    </w:p>
    <w:p w14:paraId="7B25BED2">
      <w:pPr>
        <w:bidi w:val="0"/>
      </w:pPr>
    </w:p>
    <w:p w14:paraId="7DFDE1E6">
      <w:pPr>
        <w:bidi w:val="0"/>
      </w:pPr>
      <w:r>
        <w:t>集团，全面完成国内多个地方的稀土资源整合任务；通过兼并重组，产业集中度进一步提升。</w:t>
      </w:r>
    </w:p>
    <w:p w14:paraId="23B1D86E">
      <w:pPr>
        <w:bidi w:val="0"/>
      </w:pPr>
      <w:r>
        <w:t>绿色低碳发展水平显著提升。积极落实《行业碳达峰实施方案》,建成一批国家级绿色矿山、绿色工厂，主要品种能耗指标达到世界领先水平；2024年电解铝使用可再生能源占比达到25.2%;再生有色金属产量达到1915万吨。</w:t>
      </w:r>
    </w:p>
    <w:p w14:paraId="300FE162">
      <w:pPr>
        <w:bidi w:val="0"/>
      </w:pPr>
      <w:r>
        <w:t>2025年，是“十四五”规划收官之年，也是“十五五”规划谋划之年。我们将以习近平新时代中国特色社会主义思想为指导，着力推进世界一流行业协会建设，着力推进行业高质量发展，做中国式现代化的重要参与者、有力推动者和坚定实践者。一是聚焦稳增长，为经济发展多作有色贡献；二是聚焦强科技，加快培育新质生产力；三是聚焦稳外贸，持续推动高水平对外开放；四是聚焦减污降碳，引领行业绿色转型；五是聚焦抓自律，营造行业良好经营环境；六是聚焦防风险，更好应对不确定性困难局面。</w:t>
      </w:r>
    </w:p>
    <w:p w14:paraId="3D1BB773">
      <w:pPr>
        <w:bidi w:val="0"/>
      </w:pPr>
      <w:r>
        <w:t>《中国有色金属发展报告》(以下简称《发展报告》)全面记述上一年度有色金属主要品种及行业运行发展情况，剖析行业发展热点，并对下一年度行业走势进行展望，为政府决策、行业研究、企业发展提供了重要参考，是协会会员企业、相关从业人员、有关部门与机构了解我国有色金属概貌的重要窗口，受到了各方面的欢迎。</w:t>
      </w:r>
    </w:p>
    <w:p w14:paraId="55034652">
      <w:pPr>
        <w:bidi w:val="0"/>
      </w:pPr>
      <w:r>
        <w:rPr>
          <w:rFonts w:hint="eastAsia"/>
          <w:lang w:val="en-US" w:eastAsia="zh-CN"/>
        </w:rPr>
        <w:t>文</w:t>
      </w:r>
      <w:r>
        <w:t>中全国性数据暂时不包括台湾及香港、澳门地区资料。</w:t>
      </w:r>
    </w:p>
    <w:p w14:paraId="767287DD">
      <w:pPr>
        <w:bidi w:val="0"/>
        <w:sectPr>
          <w:footerReference r:id="rId6" w:type="default"/>
          <w:pgSz w:w="11906" w:h="16838"/>
          <w:pgMar w:top="1440" w:right="1080" w:bottom="1440" w:left="1080" w:header="0" w:footer="0" w:gutter="0"/>
          <w:pgNumType w:fmt="upperRoman" w:start="1"/>
          <w:cols w:space="720" w:num="1"/>
        </w:sectPr>
      </w:pPr>
    </w:p>
    <w:sdt>
      <w:sdtPr>
        <w:rPr>
          <w:rFonts w:hint="eastAsia" w:ascii="黑体" w:hAnsi="黑体" w:eastAsia="黑体" w:cs="黑体"/>
          <w:b/>
          <w:bCs/>
          <w:snapToGrid w:val="0"/>
          <w:color w:val="000000"/>
          <w:kern w:val="0"/>
          <w:sz w:val="44"/>
          <w:szCs w:val="44"/>
          <w:lang w:val="en-US" w:eastAsia="en-US" w:bidi="ar-SA"/>
        </w:rPr>
        <w:id w:val="147458953"/>
        <w15:color w:val="DBDBDB"/>
        <w:docPartObj>
          <w:docPartGallery w:val="Table of Contents"/>
          <w:docPartUnique/>
        </w:docPartObj>
      </w:sdtPr>
      <w:sdtEndPr>
        <w:rPr>
          <w:rFonts w:hint="eastAsia" w:ascii="黑体" w:hAnsi="黑体" w:eastAsia="黑体" w:cs="黑体"/>
          <w:b/>
          <w:bCs/>
          <w:snapToGrid w:val="0"/>
          <w:color w:val="000000"/>
          <w:kern w:val="0"/>
          <w:sz w:val="44"/>
          <w:szCs w:val="44"/>
          <w:lang w:val="en-US" w:eastAsia="en-US" w:bidi="ar-SA"/>
        </w:rPr>
      </w:sdtEndPr>
      <w:sdtContent>
        <w:p w14:paraId="767E51C2">
          <w:pPr>
            <w:spacing w:before="0" w:beforeLines="0" w:after="0" w:afterLines="0" w:line="240" w:lineRule="auto"/>
            <w:ind w:left="0" w:leftChars="0" w:right="0" w:rightChars="0" w:firstLine="0" w:firstLineChars="0"/>
            <w:jc w:val="center"/>
            <w:rPr>
              <w:rFonts w:hint="eastAsia" w:ascii="黑体" w:hAnsi="黑体" w:eastAsia="黑体" w:cs="黑体"/>
              <w:b/>
              <w:bCs/>
              <w:sz w:val="44"/>
              <w:szCs w:val="44"/>
            </w:rPr>
          </w:pPr>
          <w:r>
            <w:rPr>
              <w:rFonts w:hint="eastAsia" w:ascii="黑体" w:hAnsi="黑体" w:eastAsia="黑体" w:cs="黑体"/>
              <w:b/>
              <w:bCs/>
              <w:sz w:val="44"/>
              <w:szCs w:val="44"/>
            </w:rPr>
            <w:t>目录</w:t>
          </w:r>
        </w:p>
        <w:p w14:paraId="0B886714">
          <w:pPr>
            <w:pStyle w:val="15"/>
            <w:tabs>
              <w:tab w:val="right" w:leader="dot" w:pos="10303"/>
            </w:tabs>
          </w:pPr>
          <w:r>
            <w:fldChar w:fldCharType="begin"/>
          </w:r>
          <w:r>
            <w:instrText xml:space="preserve">TOC \o "1-2" \h \u </w:instrText>
          </w:r>
          <w:r>
            <w:fldChar w:fldCharType="separate"/>
          </w:r>
          <w:r>
            <w:fldChar w:fldCharType="begin"/>
          </w:r>
          <w:r>
            <w:instrText xml:space="preserve"> HYPERLINK \l _Toc22430 </w:instrText>
          </w:r>
          <w:r>
            <w:fldChar w:fldCharType="separate"/>
          </w:r>
          <w:r>
            <w:rPr>
              <w:rFonts w:ascii="黑体" w:hAnsi="黑体" w:eastAsia="黑体" w:cs="黑体"/>
              <w:bCs/>
              <w:spacing w:val="28"/>
              <w:szCs w:val="112"/>
            </w:rPr>
            <w:t>中国有色金属</w:t>
          </w:r>
          <w:r>
            <w:rPr>
              <w:rFonts w:ascii="黑体" w:hAnsi="黑体" w:eastAsia="黑体" w:cs="黑体"/>
              <w:bCs/>
              <w:spacing w:val="-6"/>
              <w:szCs w:val="112"/>
            </w:rPr>
            <w:t>发展报告</w:t>
          </w:r>
          <w:r>
            <w:tab/>
          </w:r>
          <w:r>
            <w:fldChar w:fldCharType="begin"/>
          </w:r>
          <w:r>
            <w:instrText xml:space="preserve"> PAGEREF _Toc22430 \h </w:instrText>
          </w:r>
          <w:r>
            <w:fldChar w:fldCharType="separate"/>
          </w:r>
          <w:r>
            <w:t>I</w:t>
          </w:r>
          <w:r>
            <w:fldChar w:fldCharType="end"/>
          </w:r>
          <w:r>
            <w:fldChar w:fldCharType="end"/>
          </w:r>
        </w:p>
        <w:p w14:paraId="5831EB8F">
          <w:pPr>
            <w:pStyle w:val="15"/>
            <w:tabs>
              <w:tab w:val="right" w:leader="dot" w:pos="10303"/>
            </w:tabs>
          </w:pPr>
          <w:r>
            <w:fldChar w:fldCharType="begin"/>
          </w:r>
          <w:r>
            <w:instrText xml:space="preserve"> HYPERLINK \l _Toc24473 </w:instrText>
          </w:r>
          <w:r>
            <w:fldChar w:fldCharType="separate"/>
          </w:r>
          <w:r>
            <w:t>前</w:t>
          </w:r>
          <w:r>
            <w:rPr>
              <w:rFonts w:hint="eastAsia"/>
              <w:lang w:val="en-US" w:eastAsia="zh-CN"/>
            </w:rPr>
            <w:t xml:space="preserve">     </w:t>
          </w:r>
          <w:r>
            <w:t>言</w:t>
          </w:r>
          <w:r>
            <w:tab/>
          </w:r>
          <w:r>
            <w:fldChar w:fldCharType="begin"/>
          </w:r>
          <w:r>
            <w:instrText xml:space="preserve"> PAGEREF _Toc24473 \h </w:instrText>
          </w:r>
          <w:r>
            <w:fldChar w:fldCharType="separate"/>
          </w:r>
          <w:r>
            <w:t>I</w:t>
          </w:r>
          <w:r>
            <w:fldChar w:fldCharType="end"/>
          </w:r>
          <w:r>
            <w:fldChar w:fldCharType="end"/>
          </w:r>
        </w:p>
        <w:p w14:paraId="0E9D7AAF">
          <w:pPr>
            <w:pStyle w:val="17"/>
            <w:tabs>
              <w:tab w:val="right" w:leader="dot" w:pos="10303"/>
            </w:tabs>
            <w:ind w:left="0" w:leftChars="0" w:firstLine="560" w:firstLineChars="200"/>
          </w:pPr>
          <w:r>
            <w:fldChar w:fldCharType="begin"/>
          </w:r>
          <w:r>
            <w:instrText xml:space="preserve"> HYPERLINK \l _Toc11969 </w:instrText>
          </w:r>
          <w:r>
            <w:fldChar w:fldCharType="separate"/>
          </w:r>
          <w:r>
            <w:t>一、2024年有色金属工业运行良好</w:t>
          </w:r>
          <w:r>
            <w:tab/>
          </w:r>
          <w:r>
            <w:fldChar w:fldCharType="begin"/>
          </w:r>
          <w:r>
            <w:instrText xml:space="preserve"> PAGEREF _Toc11969 \h </w:instrText>
          </w:r>
          <w:r>
            <w:fldChar w:fldCharType="separate"/>
          </w:r>
          <w:r>
            <w:t>1</w:t>
          </w:r>
          <w:r>
            <w:fldChar w:fldCharType="end"/>
          </w:r>
          <w:r>
            <w:fldChar w:fldCharType="end"/>
          </w:r>
        </w:p>
        <w:p w14:paraId="2D9FBA42">
          <w:pPr>
            <w:pStyle w:val="15"/>
            <w:tabs>
              <w:tab w:val="right" w:leader="dot" w:pos="10303"/>
            </w:tabs>
          </w:pPr>
          <w:r>
            <w:fldChar w:fldCharType="begin"/>
          </w:r>
          <w:r>
            <w:instrText xml:space="preserve"> HYPERLINK \l _Toc6075 </w:instrText>
          </w:r>
          <w:r>
            <w:fldChar w:fldCharType="separate"/>
          </w:r>
          <w:r>
            <w:t>二、有色金属工业呈现出较强的韧性和发展活力浅析</w:t>
          </w:r>
          <w:r>
            <w:tab/>
          </w:r>
          <w:r>
            <w:fldChar w:fldCharType="begin"/>
          </w:r>
          <w:r>
            <w:instrText xml:space="preserve"> PAGEREF _Toc6075 \h </w:instrText>
          </w:r>
          <w:r>
            <w:fldChar w:fldCharType="separate"/>
          </w:r>
          <w:r>
            <w:t>20</w:t>
          </w:r>
          <w:r>
            <w:fldChar w:fldCharType="end"/>
          </w:r>
          <w:r>
            <w:fldChar w:fldCharType="end"/>
          </w:r>
        </w:p>
        <w:p w14:paraId="33BA499A">
          <w:pPr>
            <w:pStyle w:val="15"/>
            <w:tabs>
              <w:tab w:val="right" w:leader="dot" w:pos="10303"/>
            </w:tabs>
          </w:pPr>
          <w:r>
            <w:fldChar w:fldCharType="begin"/>
          </w:r>
          <w:r>
            <w:instrText xml:space="preserve"> HYPERLINK \l _Toc32520 </w:instrText>
          </w:r>
          <w:r>
            <w:fldChar w:fldCharType="separate"/>
          </w:r>
          <w:r>
            <w:t>三、对2025年有色金属产业运行环境预判</w:t>
          </w:r>
          <w:r>
            <w:tab/>
          </w:r>
          <w:r>
            <w:fldChar w:fldCharType="begin"/>
          </w:r>
          <w:r>
            <w:instrText xml:space="preserve"> PAGEREF _Toc32520 \h </w:instrText>
          </w:r>
          <w:r>
            <w:fldChar w:fldCharType="separate"/>
          </w:r>
          <w:r>
            <w:t>32</w:t>
          </w:r>
          <w:r>
            <w:fldChar w:fldCharType="end"/>
          </w:r>
          <w:r>
            <w:fldChar w:fldCharType="end"/>
          </w:r>
        </w:p>
        <w:p w14:paraId="3567FE30">
          <w:r>
            <w:fldChar w:fldCharType="end"/>
          </w:r>
        </w:p>
      </w:sdtContent>
    </w:sdt>
    <w:p w14:paraId="7968322D"/>
    <w:p w14:paraId="7DA95964">
      <w:pPr>
        <w:bidi w:val="0"/>
        <w:rPr>
          <w:rFonts w:ascii="Times New Roman" w:hAnsi="Times New Roman" w:eastAsia="Times New Roman" w:cs="Times New Roman"/>
          <w:sz w:val="18"/>
          <w:szCs w:val="18"/>
        </w:rPr>
        <w:sectPr>
          <w:footerReference r:id="rId7" w:type="default"/>
          <w:pgSz w:w="11906" w:h="16838"/>
          <w:pgMar w:top="717" w:right="764" w:bottom="583" w:left="839" w:header="0" w:footer="423" w:gutter="0"/>
          <w:pgNumType w:fmt="upperRoman"/>
          <w:cols w:space="720" w:num="1"/>
        </w:sectPr>
      </w:pPr>
    </w:p>
    <w:p w14:paraId="2D0F00CB">
      <w:pPr>
        <w:bidi w:val="0"/>
        <w:jc w:val="center"/>
        <w:rPr>
          <w:b/>
          <w:bCs/>
        </w:rPr>
      </w:pPr>
      <w:bookmarkStart w:id="3" w:name="bookmark1"/>
      <w:bookmarkEnd w:id="3"/>
      <w:bookmarkStart w:id="4" w:name="bookmark2"/>
      <w:bookmarkEnd w:id="4"/>
      <w:r>
        <w:rPr>
          <w:b/>
          <w:bCs/>
        </w:rPr>
        <w:t>2024年有色金属工业运行情况综述</w:t>
      </w:r>
    </w:p>
    <w:p w14:paraId="71FF9DBD">
      <w:pPr>
        <w:bidi w:val="0"/>
      </w:pPr>
      <w:r>
        <w:t>2024年是中华人民共和国成立75周年，是实现“十四五”规划目标任务的关键一年。在以习近平同志为核心的党中央坚强领导下，有色金属行业、有色金属企业认真贯彻落实党中央、国务院决策部署，坚持稳字当头、稳中求进工作总基调，完整、准确、全面贯彻新发展理念，加快构建新发展格局，有色金属工业高质量发展取得新成效，产业运行稳中有进，呈现出良好发展态势。2024年有色金属工业运行具有以下亮点及特点：一是有色金属工业增加值增长8.9%,增幅大于全国工业增加值增幅3.1个百分点；二是初步统计十种有色金属产量7919万吨，增长4.3%;三是精炼铜、原铝消费量增幅分别大于产量增幅2.8个百分点、1.6个百分点；四是有色金属固定资产投资增幅高达24.7%;五是铜材、铝材出口量均创历史新高；六是有色金属价格涨跌分化，铜、铝、铅、锌价格分别上涨9.7%、6.5%、10.0%、7.8%,工业硅、电池级碳酸锂价格分别下跌15.3%、65.3%;七是规上有色金属工业企业实现利润初步统计数首次超过4200亿元大关，达到4238.8亿元；八是规上有色金属工业企业资产负债率下降到58.5%,达历史最好水平。</w:t>
      </w:r>
    </w:p>
    <w:p w14:paraId="0292617C">
      <w:pPr>
        <w:pStyle w:val="3"/>
        <w:bidi w:val="0"/>
      </w:pPr>
      <w:bookmarkStart w:id="5" w:name="_Toc11969"/>
      <w:r>
        <w:t>一、2024年有色金属工业运行良好</w:t>
      </w:r>
      <w:bookmarkEnd w:id="5"/>
    </w:p>
    <w:p w14:paraId="64B894D4">
      <w:pPr>
        <w:pStyle w:val="4"/>
        <w:numPr>
          <w:ilvl w:val="0"/>
          <w:numId w:val="1"/>
        </w:numPr>
        <w:bidi w:val="0"/>
        <w:rPr>
          <w:rFonts w:hint="eastAsia"/>
        </w:rPr>
      </w:pPr>
      <w:r>
        <w:t>有色金属生产、消费保持平稳增长</w:t>
      </w:r>
    </w:p>
    <w:p w14:paraId="2EF20FFA">
      <w:pPr>
        <w:pStyle w:val="5"/>
        <w:widowControl/>
      </w:pPr>
      <w:r>
        <w:t>1.工业增加值增幅持续扩大</w:t>
      </w:r>
    </w:p>
    <w:p w14:paraId="78199C24">
      <w:pPr>
        <w:bidi w:val="0"/>
      </w:pPr>
      <w:r>
        <w:t>2024年，有色金属工业增加值比上年增长8.9%(见图1),增幅比2023</w:t>
      </w:r>
    </w:p>
    <w:p w14:paraId="72D7BD0D">
      <w:pPr>
        <w:bidi w:val="0"/>
      </w:pPr>
      <w:r>
        <w:t>年扩大1.5个百分点，比全国工业增加值的增幅高3.1个百分点。其中，矿山采选业工业增加值增长3.7%,冶炼加工业工业增加值增长9.7%。</w:t>
      </w:r>
    </w:p>
    <w:p w14:paraId="05B64908">
      <w:pPr>
        <w:pStyle w:val="5"/>
        <w:widowControl/>
      </w:pPr>
      <w:r>
        <w:t>2.十种有色金属产量持续增长</w:t>
      </w:r>
    </w:p>
    <w:p w14:paraId="228A0260">
      <w:pPr>
        <w:bidi w:val="0"/>
        <w:rPr>
          <w:rFonts w:hint="eastAsia"/>
          <w:lang w:eastAsia="zh-CN"/>
        </w:rPr>
      </w:pPr>
      <w:r>
        <w:t>2024年，十种常用有色金属产量7918.8万吨，比上年增长(按可比口径计算，下同)4.3%(见图2)。其中，精炼铜产量1364.4万吨，增长4.1%(见图3);原铝产量400.5万吨，增长4.6%(见图4)。六种矿山金属含量612.4万吨，下降1.2%;氧化铝产量8852.2万吨，增长3.9%;铜材产量(尚未扣除企业间重复统计约250万吨)2350.3万吨，增长1.7%;铝材产量(尚未扣除企业间重复统计约1600万吨)6783.1万吨，增长7.7%</w:t>
      </w:r>
      <w:r>
        <w:rPr>
          <w:rFonts w:hint="eastAsia"/>
          <w:lang w:eastAsia="zh-CN"/>
        </w:rPr>
        <w:t>。</w:t>
      </w:r>
    </w:p>
    <w:p w14:paraId="3A71A3BB">
      <w:pPr>
        <w:bidi w:val="0"/>
        <w:jc w:val="center"/>
        <w:rPr>
          <w:rFonts w:hint="eastAsia"/>
          <w:lang w:eastAsia="zh-CN"/>
        </w:rPr>
      </w:pPr>
      <w:r>
        <w:drawing>
          <wp:inline distT="0" distB="0" distL="114300" distR="114300">
            <wp:extent cx="4110990" cy="2183765"/>
            <wp:effectExtent l="0" t="0" r="3810" b="6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4110990" cy="2183765"/>
                    </a:xfrm>
                    <a:prstGeom prst="rect">
                      <a:avLst/>
                    </a:prstGeom>
                    <a:noFill/>
                    <a:ln>
                      <a:noFill/>
                    </a:ln>
                  </pic:spPr>
                </pic:pic>
              </a:graphicData>
            </a:graphic>
          </wp:inline>
        </w:drawing>
      </w:r>
    </w:p>
    <w:p w14:paraId="1BA1EFCC">
      <w:pPr>
        <w:pStyle w:val="24"/>
        <w:widowControl/>
        <w:rPr>
          <w:rFonts w:hint="eastAsia" w:ascii="仿宋" w:hAnsi="仿宋" w:eastAsia="仿宋" w:cs="仿宋"/>
        </w:rPr>
      </w:pPr>
      <w:r>
        <w:rPr>
          <w:rFonts w:hint="eastAsia" w:ascii="仿宋" w:hAnsi="仿宋" w:eastAsia="仿宋" w:cs="仿宋"/>
          <w:lang w:val="en-US" w:eastAsia="zh-CN"/>
        </w:rPr>
        <w:t>图</w:t>
      </w:r>
      <w:r>
        <w:rPr>
          <w:rFonts w:hint="eastAsia" w:ascii="仿宋" w:hAnsi="仿宋" w:eastAsia="仿宋" w:cs="仿宋"/>
        </w:rPr>
        <w:t>1</w:t>
      </w:r>
      <w:r>
        <w:rPr>
          <w:rFonts w:hint="eastAsia" w:ascii="仿宋" w:hAnsi="仿宋" w:eastAsia="仿宋" w:cs="仿宋"/>
          <w:lang w:val="en-US" w:eastAsia="zh-CN"/>
        </w:rPr>
        <w:t xml:space="preserve">  </w:t>
      </w:r>
      <w:r>
        <w:rPr>
          <w:rFonts w:hint="eastAsia" w:ascii="仿宋" w:hAnsi="仿宋" w:eastAsia="仿宋" w:cs="仿宋"/>
        </w:rPr>
        <w:t>2020—2024年规上有色金属行业工业增加值增长速度图数据来源：国家统计局，中国有色金属工业协会</w:t>
      </w:r>
    </w:p>
    <w:p w14:paraId="150551A6">
      <w:pPr>
        <w:jc w:val="center"/>
        <w:rPr>
          <w:rFonts w:hint="eastAsia"/>
        </w:rPr>
      </w:pPr>
      <w:r>
        <w:drawing>
          <wp:inline distT="0" distB="0" distL="114300" distR="114300">
            <wp:extent cx="3935095" cy="2033905"/>
            <wp:effectExtent l="0" t="0" r="1905" b="1079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5"/>
                    <a:stretch>
                      <a:fillRect/>
                    </a:stretch>
                  </pic:blipFill>
                  <pic:spPr>
                    <a:xfrm>
                      <a:off x="0" y="0"/>
                      <a:ext cx="3935095" cy="2033905"/>
                    </a:xfrm>
                    <a:prstGeom prst="rect">
                      <a:avLst/>
                    </a:prstGeom>
                    <a:noFill/>
                    <a:ln>
                      <a:noFill/>
                    </a:ln>
                  </pic:spPr>
                </pic:pic>
              </a:graphicData>
            </a:graphic>
          </wp:inline>
        </w:drawing>
      </w:r>
    </w:p>
    <w:p w14:paraId="2CE7C826">
      <w:pPr>
        <w:pStyle w:val="24"/>
        <w:widowControl/>
      </w:pPr>
      <w:r>
        <w:t>图2</w:t>
      </w:r>
      <w:r>
        <w:rPr>
          <w:rFonts w:hint="eastAsia"/>
          <w:lang w:val="en-US" w:eastAsia="zh-CN"/>
        </w:rPr>
        <w:t xml:space="preserve">  </w:t>
      </w:r>
      <w:r>
        <w:t>2020—2024年十种有色金属产量及比上年增长速度图</w:t>
      </w:r>
    </w:p>
    <w:p w14:paraId="1EEBAFC5">
      <w:pPr>
        <w:pStyle w:val="11"/>
        <w:widowControl/>
        <w:ind w:left="0" w:leftChars="0" w:firstLine="0" w:firstLineChars="0"/>
        <w:jc w:val="center"/>
      </w:pPr>
      <w:r>
        <w:t>(图中十种有色金属产量历史数据已按新口径调整)</w:t>
      </w:r>
    </w:p>
    <w:p w14:paraId="4EF55224">
      <w:pPr>
        <w:pStyle w:val="11"/>
        <w:widowControl/>
        <w:ind w:left="0" w:leftChars="0" w:firstLine="0" w:firstLineChars="0"/>
        <w:jc w:val="center"/>
      </w:pPr>
      <w:r>
        <w:t>数据来源：国家统计局，中国有色金属工业协会</w:t>
      </w:r>
    </w:p>
    <w:p w14:paraId="32E1CDAF">
      <w:pPr>
        <w:pStyle w:val="5"/>
        <w:widowControl/>
      </w:pPr>
      <w:r>
        <w:t>3.精炼铜、原铝消费量增幅大于产量增幅</w:t>
      </w:r>
    </w:p>
    <w:p w14:paraId="69736FFE">
      <w:pPr>
        <w:bidi w:val="0"/>
      </w:pPr>
      <w:r>
        <w:t>2024年，中国精炼铜消费量为1630万吨，比上年增长6.9%(见图5),比产量增幅高2.8个百分点；原铝消费量为4565万吨，增长6.2%(见图6),</w:t>
      </w:r>
    </w:p>
    <w:p w14:paraId="413DEE2A">
      <w:pPr>
        <w:bidi w:val="0"/>
      </w:pPr>
      <w:r>
        <w:t>比产量增幅高1.6个百分点。</w:t>
      </w:r>
    </w:p>
    <w:p w14:paraId="35CE5C70">
      <w:pPr>
        <w:pStyle w:val="5"/>
        <w:widowControl/>
      </w:pPr>
      <w:r>
        <w:t>4.全铜、全铝人均消费量保持较快增长</w:t>
      </w:r>
    </w:p>
    <w:p w14:paraId="12B9C67D">
      <w:pPr>
        <w:bidi w:val="0"/>
      </w:pPr>
      <w:r>
        <w:t>2024年，中国全铜人均年消费量为12.3千克/人，比上年增长7.3%(见图7);全铝人均年消费量为35.1千克/人，比上年增长6.6%(见图8)。</w:t>
      </w:r>
    </w:p>
    <w:p w14:paraId="589B66C2">
      <w:pPr>
        <w:pStyle w:val="11"/>
        <w:bidi w:val="0"/>
        <w:rPr>
          <w:rFonts w:hint="eastAsia"/>
        </w:rPr>
      </w:pPr>
      <w:r>
        <w:drawing>
          <wp:anchor distT="0" distB="0" distL="114300" distR="114300" simplePos="0" relativeHeight="251665408" behindDoc="0" locked="0" layoutInCell="1" allowOverlap="1">
            <wp:simplePos x="0" y="0"/>
            <wp:positionH relativeFrom="column">
              <wp:posOffset>718820</wp:posOffset>
            </wp:positionH>
            <wp:positionV relativeFrom="paragraph">
              <wp:posOffset>69215</wp:posOffset>
            </wp:positionV>
            <wp:extent cx="4312285" cy="2125345"/>
            <wp:effectExtent l="0" t="0" r="5715" b="825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312285" cy="2125345"/>
                    </a:xfrm>
                    <a:prstGeom prst="rect">
                      <a:avLst/>
                    </a:prstGeom>
                    <a:noFill/>
                    <a:ln>
                      <a:noFill/>
                    </a:ln>
                  </pic:spPr>
                </pic:pic>
              </a:graphicData>
            </a:graphic>
          </wp:anchor>
        </w:drawing>
      </w:r>
      <w:r>
        <w:rPr>
          <w:rFonts w:hint="eastAsia"/>
        </w:rPr>
        <w:t>图3</w:t>
      </w:r>
      <w:r>
        <w:rPr>
          <w:rFonts w:hint="eastAsia"/>
          <w:lang w:val="en-US" w:eastAsia="zh-CN"/>
        </w:rPr>
        <w:t xml:space="preserve"> </w:t>
      </w:r>
      <w:r>
        <w:rPr>
          <w:rFonts w:hint="eastAsia"/>
        </w:rPr>
        <w:t>2020—2024年精炼铜产量及比上年增长速度图</w:t>
      </w:r>
    </w:p>
    <w:p w14:paraId="0FE0E881">
      <w:pPr>
        <w:pStyle w:val="11"/>
        <w:bidi w:val="0"/>
        <w:rPr>
          <w:rFonts w:hint="eastAsia"/>
        </w:rPr>
      </w:pPr>
      <w:r>
        <w:rPr>
          <w:rFonts w:hint="eastAsia"/>
        </w:rPr>
        <w:t>数据来源：国家统计局，中国有色金属工业协会原铝产量比上年增长</w:t>
      </w:r>
    </w:p>
    <w:p w14:paraId="507AFE3E">
      <w:pPr>
        <w:pStyle w:val="11"/>
        <w:widowControl/>
        <w:ind w:left="0" w:leftChars="0" w:firstLine="0" w:firstLineChars="0"/>
        <w:jc w:val="center"/>
      </w:pPr>
      <w:r>
        <w:drawing>
          <wp:inline distT="0" distB="0" distL="114300" distR="114300">
            <wp:extent cx="4718050" cy="2144395"/>
            <wp:effectExtent l="0" t="0" r="635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4718050" cy="2144395"/>
                    </a:xfrm>
                    <a:prstGeom prst="rect">
                      <a:avLst/>
                    </a:prstGeom>
                    <a:noFill/>
                    <a:ln>
                      <a:noFill/>
                    </a:ln>
                  </pic:spPr>
                </pic:pic>
              </a:graphicData>
            </a:graphic>
          </wp:inline>
        </w:drawing>
      </w:r>
    </w:p>
    <w:p w14:paraId="613D53BC">
      <w:pPr>
        <w:pStyle w:val="11"/>
        <w:bidi w:val="0"/>
        <w:rPr>
          <w:rFonts w:hint="default"/>
          <w:lang w:val="en-US" w:eastAsia="zh-CN"/>
        </w:rPr>
      </w:pPr>
      <w:r>
        <w:rPr>
          <w:rFonts w:hint="eastAsia"/>
        </w:rPr>
        <w:t>图4</w:t>
      </w:r>
      <w:r>
        <w:rPr>
          <w:rFonts w:hint="eastAsia"/>
          <w:lang w:val="en-US" w:eastAsia="zh-CN"/>
        </w:rPr>
        <w:t xml:space="preserve">  </w:t>
      </w:r>
      <w:r>
        <w:rPr>
          <w:rFonts w:hint="eastAsia"/>
        </w:rPr>
        <w:t>2020—2024年原铝产量及比上年增长速度图</w:t>
      </w:r>
    </w:p>
    <w:p w14:paraId="49909787">
      <w:pPr>
        <w:pStyle w:val="11"/>
        <w:bidi w:val="0"/>
        <w:rPr>
          <w:rFonts w:hint="eastAsia"/>
        </w:rPr>
      </w:pPr>
      <w:r>
        <w:rPr>
          <w:rFonts w:hint="eastAsia"/>
        </w:rPr>
        <w:t>数据来源：国家统计局，中国有色金属工业协会</w:t>
      </w:r>
    </w:p>
    <w:p w14:paraId="0F329AD1">
      <w:pPr>
        <w:pStyle w:val="11"/>
        <w:widowControl/>
        <w:ind w:left="0" w:leftChars="0" w:firstLine="0" w:firstLineChars="0"/>
        <w:jc w:val="center"/>
      </w:pPr>
      <w:r>
        <w:drawing>
          <wp:inline distT="0" distB="0" distL="114300" distR="114300">
            <wp:extent cx="5460365" cy="2237740"/>
            <wp:effectExtent l="0" t="0" r="635"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8"/>
                    <a:stretch>
                      <a:fillRect/>
                    </a:stretch>
                  </pic:blipFill>
                  <pic:spPr>
                    <a:xfrm>
                      <a:off x="0" y="0"/>
                      <a:ext cx="5460365" cy="2237740"/>
                    </a:xfrm>
                    <a:prstGeom prst="rect">
                      <a:avLst/>
                    </a:prstGeom>
                    <a:noFill/>
                    <a:ln>
                      <a:noFill/>
                    </a:ln>
                  </pic:spPr>
                </pic:pic>
              </a:graphicData>
            </a:graphic>
          </wp:inline>
        </w:drawing>
      </w:r>
    </w:p>
    <w:p w14:paraId="5B4F17AD">
      <w:pPr>
        <w:pStyle w:val="11"/>
        <w:bidi w:val="0"/>
        <w:ind w:left="0" w:leftChars="0" w:firstLine="0" w:firstLineChars="0"/>
        <w:rPr>
          <w:rFonts w:hint="eastAsia"/>
        </w:rPr>
      </w:pPr>
      <w:r>
        <w:rPr>
          <w:rFonts w:hint="eastAsia"/>
        </w:rPr>
        <w:t>图5</w:t>
      </w:r>
      <w:r>
        <w:rPr>
          <w:rFonts w:hint="eastAsia"/>
          <w:lang w:val="en-US" w:eastAsia="zh-CN"/>
        </w:rPr>
        <w:t xml:space="preserve">  </w:t>
      </w:r>
      <w:r>
        <w:rPr>
          <w:rFonts w:hint="eastAsia"/>
        </w:rPr>
        <w:t>2020—2024年精炼铜消费量及比上年增长速度图</w:t>
      </w:r>
    </w:p>
    <w:p w14:paraId="3236699F">
      <w:pPr>
        <w:pStyle w:val="11"/>
        <w:bidi w:val="0"/>
        <w:ind w:left="0" w:leftChars="0" w:firstLine="0" w:firstLineChars="0"/>
        <w:rPr>
          <w:rFonts w:hint="eastAsia"/>
        </w:rPr>
      </w:pPr>
      <w:r>
        <w:rPr>
          <w:rFonts w:hint="eastAsia"/>
        </w:rPr>
        <w:t>数据来源：中国有色金属工业协会</w:t>
      </w:r>
    </w:p>
    <w:p w14:paraId="164083FF">
      <w:pPr>
        <w:pStyle w:val="11"/>
        <w:bidi w:val="0"/>
        <w:ind w:left="0" w:leftChars="0" w:firstLine="0" w:firstLineChars="0"/>
        <w:rPr>
          <w:rFonts w:hint="eastAsia"/>
        </w:rPr>
      </w:pPr>
    </w:p>
    <w:p w14:paraId="4A08960A">
      <w:pPr>
        <w:pStyle w:val="11"/>
        <w:bidi w:val="0"/>
      </w:pPr>
      <w:r>
        <w:drawing>
          <wp:inline distT="0" distB="0" distL="114300" distR="114300">
            <wp:extent cx="5157470" cy="1927225"/>
            <wp:effectExtent l="0" t="0" r="11430" b="317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9"/>
                    <a:stretch>
                      <a:fillRect/>
                    </a:stretch>
                  </pic:blipFill>
                  <pic:spPr>
                    <a:xfrm>
                      <a:off x="0" y="0"/>
                      <a:ext cx="5157470" cy="1927225"/>
                    </a:xfrm>
                    <a:prstGeom prst="rect">
                      <a:avLst/>
                    </a:prstGeom>
                    <a:noFill/>
                    <a:ln>
                      <a:noFill/>
                    </a:ln>
                  </pic:spPr>
                </pic:pic>
              </a:graphicData>
            </a:graphic>
          </wp:inline>
        </w:drawing>
      </w:r>
    </w:p>
    <w:p w14:paraId="08D28FCC">
      <w:pPr>
        <w:pStyle w:val="11"/>
        <w:bidi w:val="0"/>
        <w:rPr>
          <w:rFonts w:hint="eastAsia"/>
        </w:rPr>
      </w:pPr>
      <w:r>
        <w:rPr>
          <w:rFonts w:hint="eastAsia"/>
        </w:rPr>
        <w:t>图6</w:t>
      </w:r>
      <w:r>
        <w:rPr>
          <w:rFonts w:hint="eastAsia"/>
          <w:lang w:val="en-US" w:eastAsia="zh-CN"/>
        </w:rPr>
        <w:t xml:space="preserve">  </w:t>
      </w:r>
      <w:r>
        <w:rPr>
          <w:rFonts w:hint="eastAsia"/>
        </w:rPr>
        <w:t>2020—2024年原铝消费量及比上年增长速度图</w:t>
      </w:r>
    </w:p>
    <w:p w14:paraId="174E3295">
      <w:pPr>
        <w:pStyle w:val="11"/>
        <w:bidi w:val="0"/>
        <w:rPr>
          <w:rFonts w:hint="eastAsia"/>
        </w:rPr>
      </w:pPr>
      <w:r>
        <w:rPr>
          <w:rFonts w:hint="eastAsia"/>
        </w:rPr>
        <w:t>数据来源：中国有色金属工业协会</w:t>
      </w:r>
    </w:p>
    <w:p w14:paraId="081CD259">
      <w:pPr>
        <w:pStyle w:val="11"/>
        <w:bidi w:val="0"/>
      </w:pPr>
    </w:p>
    <w:p w14:paraId="43A2A5AF">
      <w:pPr>
        <w:pStyle w:val="11"/>
        <w:bidi w:val="0"/>
      </w:pPr>
      <w:r>
        <w:drawing>
          <wp:inline distT="0" distB="0" distL="114300" distR="114300">
            <wp:extent cx="4550410" cy="1956435"/>
            <wp:effectExtent l="0" t="0" r="8890" b="1206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0"/>
                    <a:stretch>
                      <a:fillRect/>
                    </a:stretch>
                  </pic:blipFill>
                  <pic:spPr>
                    <a:xfrm>
                      <a:off x="0" y="0"/>
                      <a:ext cx="4550410" cy="1956435"/>
                    </a:xfrm>
                    <a:prstGeom prst="rect">
                      <a:avLst/>
                    </a:prstGeom>
                    <a:noFill/>
                    <a:ln>
                      <a:noFill/>
                    </a:ln>
                  </pic:spPr>
                </pic:pic>
              </a:graphicData>
            </a:graphic>
          </wp:inline>
        </w:drawing>
      </w:r>
    </w:p>
    <w:p w14:paraId="447F3392">
      <w:pPr>
        <w:pStyle w:val="11"/>
        <w:bidi w:val="0"/>
      </w:pPr>
      <w:r>
        <w:rPr>
          <w:lang w:val="en-US" w:eastAsia="zh-CN"/>
        </w:rPr>
        <w:t>图</w:t>
      </w:r>
      <w:r>
        <w:rPr>
          <w:rFonts w:hint="default"/>
          <w:lang w:val="en-US" w:eastAsia="zh-CN"/>
        </w:rPr>
        <w:t xml:space="preserve">7 </w:t>
      </w:r>
      <w:r>
        <w:rPr>
          <w:rFonts w:hint="eastAsia"/>
          <w:lang w:val="en-US" w:eastAsia="zh-CN"/>
        </w:rPr>
        <w:t xml:space="preserve"> </w:t>
      </w:r>
      <w:r>
        <w:rPr>
          <w:rFonts w:hint="default"/>
          <w:lang w:val="en-US" w:eastAsia="zh-CN"/>
        </w:rPr>
        <w:t xml:space="preserve">2020—2024年 全铜人均消费量及比上年增长速度图 </w:t>
      </w:r>
    </w:p>
    <w:p w14:paraId="4544355A">
      <w:pPr>
        <w:pStyle w:val="11"/>
        <w:bidi w:val="0"/>
      </w:pPr>
      <w:r>
        <w:rPr>
          <w:rFonts w:hint="default"/>
          <w:lang w:val="en-US" w:eastAsia="zh-CN"/>
        </w:rPr>
        <w:t>数据来源： 中国有色金属工业协会</w:t>
      </w:r>
    </w:p>
    <w:p w14:paraId="4F4A3843">
      <w:pPr>
        <w:pStyle w:val="11"/>
        <w:bidi w:val="0"/>
        <w:rPr>
          <w:rFonts w:hint="eastAsia"/>
        </w:rPr>
      </w:pPr>
    </w:p>
    <w:p w14:paraId="070CA758">
      <w:pPr>
        <w:pStyle w:val="11"/>
        <w:bidi w:val="0"/>
        <w:rPr>
          <w:rFonts w:hint="eastAsia"/>
        </w:rPr>
      </w:pPr>
      <w:r>
        <w:drawing>
          <wp:inline distT="0" distB="0" distL="114300" distR="114300">
            <wp:extent cx="4823460" cy="2048510"/>
            <wp:effectExtent l="0" t="0" r="2540" b="889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1"/>
                    <a:stretch>
                      <a:fillRect/>
                    </a:stretch>
                  </pic:blipFill>
                  <pic:spPr>
                    <a:xfrm>
                      <a:off x="0" y="0"/>
                      <a:ext cx="4823460" cy="2048510"/>
                    </a:xfrm>
                    <a:prstGeom prst="rect">
                      <a:avLst/>
                    </a:prstGeom>
                    <a:noFill/>
                    <a:ln>
                      <a:noFill/>
                    </a:ln>
                  </pic:spPr>
                </pic:pic>
              </a:graphicData>
            </a:graphic>
          </wp:inline>
        </w:drawing>
      </w:r>
    </w:p>
    <w:p w14:paraId="154A80DD">
      <w:pPr>
        <w:pStyle w:val="11"/>
        <w:bidi w:val="0"/>
        <w:rPr>
          <w:lang w:val="en-US" w:eastAsia="zh-CN"/>
        </w:rPr>
      </w:pPr>
      <w:r>
        <w:rPr>
          <w:lang w:val="en-US" w:eastAsia="zh-CN"/>
        </w:rPr>
        <w:t xml:space="preserve">图 8 </w:t>
      </w:r>
      <w:r>
        <w:rPr>
          <w:rFonts w:hint="eastAsia"/>
          <w:lang w:val="en-US" w:eastAsia="zh-CN"/>
        </w:rPr>
        <w:t xml:space="preserve"> </w:t>
      </w:r>
      <w:r>
        <w:rPr>
          <w:lang w:val="en-US" w:eastAsia="zh-CN"/>
        </w:rPr>
        <w:t>2020—2024年 全铝人均消费量及比上年增长速度图</w:t>
      </w:r>
    </w:p>
    <w:p w14:paraId="05973CFA">
      <w:pPr>
        <w:pStyle w:val="11"/>
        <w:bidi w:val="0"/>
      </w:pPr>
      <w:r>
        <w:rPr>
          <w:rFonts w:hint="default"/>
          <w:lang w:val="en-US" w:eastAsia="zh-CN"/>
        </w:rPr>
        <w:t>数 据来源： 中国有色金属工业协会</w:t>
      </w:r>
    </w:p>
    <w:p w14:paraId="0AC38CCD">
      <w:pPr>
        <w:pStyle w:val="11"/>
        <w:bidi w:val="0"/>
        <w:jc w:val="both"/>
        <w:rPr>
          <w:rFonts w:hint="eastAsia"/>
        </w:rPr>
      </w:pPr>
    </w:p>
    <w:p w14:paraId="50A3C837">
      <w:pPr>
        <w:pStyle w:val="4"/>
        <w:bidi w:val="0"/>
      </w:pPr>
      <w:r>
        <w:rPr>
          <w:lang w:val="en-US" w:eastAsia="zh-CN"/>
        </w:rPr>
        <w:t xml:space="preserve">(二 ) 固定资产投资增幅扩大，民间矿 山投资增幅更为突出 </w:t>
      </w:r>
    </w:p>
    <w:p w14:paraId="36B751EA">
      <w:pPr>
        <w:pStyle w:val="5"/>
        <w:bidi w:val="0"/>
      </w:pPr>
      <w:r>
        <w:rPr>
          <w:rFonts w:hint="default"/>
          <w:lang w:val="en-US" w:eastAsia="zh-CN"/>
        </w:rPr>
        <w:t xml:space="preserve">1. 有色金属固定资产投资增幅比上年扩大7.4个百分点 </w:t>
      </w:r>
    </w:p>
    <w:p w14:paraId="53E7EA39">
      <w:pPr>
        <w:bidi w:val="0"/>
      </w:pPr>
      <w:r>
        <w:rPr>
          <w:rFonts w:hint="default"/>
          <w:lang w:val="en-US" w:eastAsia="zh-CN"/>
        </w:rPr>
        <w:t xml:space="preserve">2024年 ，有色金属工业完成固定资产投资比上年增长24.7% (见 图9), </w:t>
      </w:r>
    </w:p>
    <w:p w14:paraId="7A3D9036">
      <w:pPr>
        <w:bidi w:val="0"/>
      </w:pPr>
      <w:r>
        <w:rPr>
          <w:rFonts w:hint="default"/>
          <w:lang w:val="en-US" w:eastAsia="zh-CN"/>
        </w:rPr>
        <w:t>增幅比2023年扩大 7.4个 百分点， 比全国工业投资增幅高 12.6个 百分点。 其 中，有 色金属矿山采选完成固定资产投资比上年增长26.7%,有色金属冶炼及压延加工完成固定资产投资比上年增长24.2%。</w:t>
      </w:r>
    </w:p>
    <w:p w14:paraId="03EA33BC">
      <w:pPr>
        <w:pStyle w:val="11"/>
        <w:bidi w:val="0"/>
        <w:jc w:val="both"/>
        <w:rPr>
          <w:rFonts w:hint="eastAsia"/>
        </w:rPr>
      </w:pPr>
    </w:p>
    <w:p w14:paraId="389133A5">
      <w:pPr>
        <w:pStyle w:val="11"/>
        <w:bidi w:val="0"/>
        <w:rPr>
          <w:rFonts w:hint="eastAsia" w:eastAsia="宋体"/>
          <w:lang w:eastAsia="zh-CN"/>
        </w:rPr>
      </w:pPr>
      <w:r>
        <w:drawing>
          <wp:inline distT="0" distB="0" distL="114300" distR="114300">
            <wp:extent cx="4513580" cy="2088515"/>
            <wp:effectExtent l="0" t="0" r="7620" b="698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2"/>
                    <a:stretch>
                      <a:fillRect/>
                    </a:stretch>
                  </pic:blipFill>
                  <pic:spPr>
                    <a:xfrm>
                      <a:off x="0" y="0"/>
                      <a:ext cx="4513580" cy="2088515"/>
                    </a:xfrm>
                    <a:prstGeom prst="rect">
                      <a:avLst/>
                    </a:prstGeom>
                    <a:noFill/>
                    <a:ln>
                      <a:noFill/>
                    </a:ln>
                  </pic:spPr>
                </pic:pic>
              </a:graphicData>
            </a:graphic>
          </wp:inline>
        </w:drawing>
      </w:r>
    </w:p>
    <w:p w14:paraId="79BE4825">
      <w:pPr>
        <w:pStyle w:val="11"/>
        <w:bidi w:val="0"/>
      </w:pPr>
      <w:r>
        <w:t>图9</w:t>
      </w:r>
      <w:r>
        <w:rPr>
          <w:rFonts w:hint="eastAsia"/>
          <w:lang w:val="en-US" w:eastAsia="zh-CN"/>
        </w:rPr>
        <w:t xml:space="preserve">  </w:t>
      </w:r>
      <w:r>
        <w:t>2020—2024年有色金属固定资产投资比上年增长速度图</w:t>
      </w:r>
    </w:p>
    <w:p w14:paraId="54BE94E3">
      <w:pPr>
        <w:pStyle w:val="11"/>
        <w:bidi w:val="0"/>
        <w:rPr>
          <w:rFonts w:hint="eastAsia"/>
        </w:rPr>
      </w:pPr>
      <w:r>
        <w:t>数据来源：国家统计局</w:t>
      </w:r>
    </w:p>
    <w:p w14:paraId="433345E9">
      <w:pPr>
        <w:spacing w:line="77" w:lineRule="exact"/>
      </w:pPr>
    </w:p>
    <w:p w14:paraId="53B9964D">
      <w:pPr>
        <w:pStyle w:val="5"/>
        <w:numPr>
          <w:ilvl w:val="0"/>
          <w:numId w:val="2"/>
        </w:numPr>
        <w:bidi w:val="0"/>
      </w:pPr>
      <w:r>
        <w:t>民间固定资产投资增幅比上年扩大19.2个百分点</w:t>
      </w:r>
    </w:p>
    <w:p w14:paraId="75D24799">
      <w:pPr>
        <w:bidi w:val="0"/>
      </w:pPr>
      <w:r>
        <w:t>2024年，民间有色金属固定资产投资比上年增长26.8%(见图10),增幅比2023年扩大19.2个百分点，增幅比有色金属工业完成固定资产投资高2.1个百分点。其中，民间有色金属矿山采选完成固定资产投资比上年增长58.9%,增幅比全国民间矿山采选固定资产投资高42.7个百分点；民间有色金属冶炼及压延加工完成固定资产投资比上年增长19.8%,增幅比民间制造业固定资产投资高9.0个百分点。</w:t>
      </w:r>
    </w:p>
    <w:p w14:paraId="276169C5">
      <w:pPr>
        <w:pStyle w:val="11"/>
        <w:bidi w:val="0"/>
      </w:pPr>
      <w:r>
        <w:drawing>
          <wp:inline distT="0" distB="0" distL="114300" distR="114300">
            <wp:extent cx="3874135" cy="2012315"/>
            <wp:effectExtent l="0" t="0" r="12065" b="698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3"/>
                    <a:stretch>
                      <a:fillRect/>
                    </a:stretch>
                  </pic:blipFill>
                  <pic:spPr>
                    <a:xfrm>
                      <a:off x="0" y="0"/>
                      <a:ext cx="3874135" cy="2012315"/>
                    </a:xfrm>
                    <a:prstGeom prst="rect">
                      <a:avLst/>
                    </a:prstGeom>
                    <a:noFill/>
                    <a:ln>
                      <a:noFill/>
                    </a:ln>
                  </pic:spPr>
                </pic:pic>
              </a:graphicData>
            </a:graphic>
          </wp:inline>
        </w:drawing>
      </w:r>
    </w:p>
    <w:p w14:paraId="282A5238">
      <w:pPr>
        <w:pStyle w:val="11"/>
        <w:bidi w:val="0"/>
      </w:pPr>
      <w:r>
        <w:t>图10</w:t>
      </w:r>
      <w:r>
        <w:rPr>
          <w:rFonts w:hint="eastAsia"/>
          <w:lang w:val="en-US" w:eastAsia="zh-CN"/>
        </w:rPr>
        <w:t xml:space="preserve">   </w:t>
      </w:r>
      <w:r>
        <w:t>2020—2024年民间有色金属固定资产投资比上年增长速度图</w:t>
      </w:r>
    </w:p>
    <w:p w14:paraId="459EA9C8">
      <w:pPr>
        <w:pStyle w:val="11"/>
        <w:bidi w:val="0"/>
      </w:pPr>
      <w:r>
        <w:t>数据来源：国家统计局</w:t>
      </w:r>
    </w:p>
    <w:p w14:paraId="61F22387">
      <w:pPr>
        <w:pStyle w:val="4"/>
        <w:bidi w:val="0"/>
        <w:rPr>
          <w:rFonts w:hint="eastAsia" w:ascii="黑体" w:hAnsi="黑体" w:eastAsia="黑体" w:cs="黑体"/>
          <w:b w:val="0"/>
        </w:rPr>
      </w:pPr>
      <w:r>
        <w:rPr>
          <w:rFonts w:hint="eastAsia"/>
          <w:lang w:eastAsia="zh-CN"/>
        </w:rPr>
        <w:t>（</w:t>
      </w:r>
      <w:r>
        <w:rPr>
          <w:rFonts w:hint="eastAsia"/>
          <w:lang w:val="en-US" w:eastAsia="zh-CN"/>
        </w:rPr>
        <w:t>三</w:t>
      </w:r>
      <w:r>
        <w:rPr>
          <w:rFonts w:hint="eastAsia"/>
          <w:lang w:eastAsia="zh-CN"/>
        </w:rPr>
        <w:t>）</w:t>
      </w:r>
      <w:r>
        <w:t>铜精矿、铝土矿进口稳定增长，铜材、铝材出口创历史新高</w:t>
      </w:r>
    </w:p>
    <w:p w14:paraId="707DC24C">
      <w:pPr>
        <w:bidi w:val="0"/>
      </w:pPr>
      <w:r>
        <w:t>根据海关快报统计，2024年有色金属进出口总额为3687.9亿美元，比上年增长11.4%。其中，进口额为2998.5亿美元，增长10.4%;出口额为689.4亿美元，增长16.2%(见图11)。贸易逆差为2309.1亿美元，增长8.8%。</w:t>
      </w:r>
    </w:p>
    <w:p w14:paraId="6E67F32B">
      <w:pPr>
        <w:pStyle w:val="11"/>
        <w:bidi w:val="0"/>
      </w:pPr>
      <w:r>
        <w:drawing>
          <wp:inline distT="0" distB="0" distL="114300" distR="114300">
            <wp:extent cx="3174365" cy="1875790"/>
            <wp:effectExtent l="0" t="0" r="635" b="381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24"/>
                    <a:stretch>
                      <a:fillRect/>
                    </a:stretch>
                  </pic:blipFill>
                  <pic:spPr>
                    <a:xfrm>
                      <a:off x="0" y="0"/>
                      <a:ext cx="3174365" cy="1875790"/>
                    </a:xfrm>
                    <a:prstGeom prst="rect">
                      <a:avLst/>
                    </a:prstGeom>
                    <a:noFill/>
                    <a:ln>
                      <a:noFill/>
                    </a:ln>
                  </pic:spPr>
                </pic:pic>
              </a:graphicData>
            </a:graphic>
          </wp:inline>
        </w:drawing>
      </w:r>
    </w:p>
    <w:p w14:paraId="70FB98E1">
      <w:pPr>
        <w:pStyle w:val="24"/>
        <w:widowControl/>
      </w:pPr>
      <w:r>
        <w:t>图11</w:t>
      </w:r>
      <w:r>
        <w:rPr>
          <w:rFonts w:hint="eastAsia"/>
          <w:lang w:val="en-US" w:eastAsia="zh-CN"/>
        </w:rPr>
        <w:t xml:space="preserve">  </w:t>
      </w:r>
      <w:r>
        <w:t>2020—2024年有色金属进出口贸易额变化图</w:t>
      </w:r>
    </w:p>
    <w:p w14:paraId="01F8182B">
      <w:pPr>
        <w:pStyle w:val="11"/>
        <w:widowControl/>
      </w:pPr>
      <w:r>
        <w:t>数据来源：海关总署</w:t>
      </w:r>
    </w:p>
    <w:p w14:paraId="6275C1F9">
      <w:pPr>
        <w:spacing w:line="270" w:lineRule="auto"/>
        <w:rPr>
          <w:rFonts w:ascii="Arial"/>
          <w:sz w:val="21"/>
        </w:rPr>
      </w:pPr>
    </w:p>
    <w:p w14:paraId="2BEA01C2">
      <w:pPr>
        <w:pStyle w:val="5"/>
        <w:bidi w:val="0"/>
      </w:pPr>
      <w:r>
        <w:t>1.进口铜精矿、铜废碎料、未锻轧铜增加，净出口铜材大幅度增加</w:t>
      </w:r>
    </w:p>
    <w:p w14:paraId="180DC5B3">
      <w:pPr>
        <w:bidi w:val="0"/>
      </w:pPr>
      <w:r>
        <w:t>2024年，铜产品进口额为1396.5亿美元，比上年增长14.6%,占有色金属产品进口额的比重为46.6%;出口额为128.3亿美元，增长41.8%,铜产品贸易逆差为1268.2亿美元，占有色金属贸易逆差的54.9%。</w:t>
      </w:r>
    </w:p>
    <w:p w14:paraId="5115FBE7">
      <w:pPr>
        <w:bidi w:val="0"/>
      </w:pPr>
      <w:r>
        <w:t>进口铜精矿实物量2811.4万吨，比上年增长2.1%(见图12);进口粗铜(阳极铜)89.3万吨，下降10.2%;进口未锻轧铜442.1万吨，增长7.5%(见图13);进口铜材36.5万吨，增长2.0%;进口铜废碎料实物量224.7万吨，增长13.2%。出口未锻轧铜45.6万吨，增长63.3%;出口铜材82.8万吨，增长22.3%(见图14)。2024年，净进口未锻轧铜396.5万吨，增长3.5%;净出口铜材46.3万吨，增长44.7%。</w:t>
      </w:r>
    </w:p>
    <w:p w14:paraId="29B6BA29">
      <w:pPr>
        <w:pStyle w:val="5"/>
        <w:widowControl/>
      </w:pPr>
      <w:r>
        <w:t>2.进口铝土矿、原铝保持增长，出口铝材大幅度增长</w:t>
      </w:r>
    </w:p>
    <w:p w14:paraId="3425BD0E">
      <w:pPr>
        <w:bidi w:val="0"/>
      </w:pPr>
      <w:r>
        <w:t>2024年，铝产品进口额为252.3亿美元，比上年增长19.4%,占有色金属产品进口额的比重为7.5%;出口额为233.5亿美元，增长16.9%,占有色金属产品出口额的比重为33.9%。</w:t>
      </w:r>
    </w:p>
    <w:p w14:paraId="526CAC03">
      <w:pPr>
        <w:pStyle w:val="11"/>
        <w:bidi w:val="0"/>
      </w:pPr>
      <w:r>
        <w:drawing>
          <wp:inline distT="0" distB="0" distL="114300" distR="114300">
            <wp:extent cx="4213225" cy="2213610"/>
            <wp:effectExtent l="0" t="0" r="3175" b="889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5"/>
                    <a:stretch>
                      <a:fillRect/>
                    </a:stretch>
                  </pic:blipFill>
                  <pic:spPr>
                    <a:xfrm>
                      <a:off x="0" y="0"/>
                      <a:ext cx="4213225" cy="2213610"/>
                    </a:xfrm>
                    <a:prstGeom prst="rect">
                      <a:avLst/>
                    </a:prstGeom>
                    <a:noFill/>
                    <a:ln>
                      <a:noFill/>
                    </a:ln>
                  </pic:spPr>
                </pic:pic>
              </a:graphicData>
            </a:graphic>
          </wp:inline>
        </w:drawing>
      </w:r>
    </w:p>
    <w:p w14:paraId="448F656E">
      <w:pPr>
        <w:pStyle w:val="11"/>
        <w:bidi w:val="0"/>
      </w:pPr>
      <w:r>
        <w:t>图12</w:t>
      </w:r>
      <w:r>
        <w:rPr>
          <w:rFonts w:hint="eastAsia"/>
          <w:lang w:val="en-US" w:eastAsia="zh-CN"/>
        </w:rPr>
        <w:t xml:space="preserve">  </w:t>
      </w:r>
      <w:r>
        <w:t>2020—2024年进口铜精矿及比上年增长速度图</w:t>
      </w:r>
    </w:p>
    <w:p w14:paraId="060B77C8">
      <w:pPr>
        <w:pStyle w:val="11"/>
        <w:bidi w:val="0"/>
      </w:pPr>
      <w:r>
        <w:t>数据来源：海关总署，中国有色金属工业协会</w:t>
      </w:r>
    </w:p>
    <w:p w14:paraId="2B65D72B">
      <w:pPr>
        <w:pStyle w:val="11"/>
        <w:bidi w:val="0"/>
      </w:pPr>
      <w:r>
        <mc:AlternateContent>
          <mc:Choice Requires="wps">
            <w:drawing>
              <wp:anchor distT="0" distB="0" distL="114300" distR="114300" simplePos="0" relativeHeight="251666432" behindDoc="0" locked="0" layoutInCell="1" allowOverlap="1">
                <wp:simplePos x="0" y="0"/>
                <wp:positionH relativeFrom="column">
                  <wp:posOffset>4024630</wp:posOffset>
                </wp:positionH>
                <wp:positionV relativeFrom="paragraph">
                  <wp:posOffset>-6350</wp:posOffset>
                </wp:positionV>
                <wp:extent cx="61595" cy="13271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61595" cy="132715"/>
                        </a:xfrm>
                        <a:prstGeom prst="rect">
                          <a:avLst/>
                        </a:prstGeom>
                        <a:noFill/>
                        <a:ln>
                          <a:noFill/>
                        </a:ln>
                      </wps:spPr>
                      <wps:txbx>
                        <w:txbxContent>
                          <w:p w14:paraId="7B346180">
                            <w:pPr>
                              <w:spacing w:before="19"/>
                              <w:ind w:left="20"/>
                              <w:rPr>
                                <w:rFonts w:ascii="宋体" w:hAnsi="宋体" w:eastAsia="宋体" w:cs="宋体"/>
                                <w:sz w:val="13"/>
                                <w:szCs w:val="13"/>
                              </w:rPr>
                            </w:pPr>
                            <w:r>
                              <w:rPr>
                                <w:rFonts w:ascii="宋体" w:hAnsi="宋体" w:eastAsia="宋体" w:cs="宋体"/>
                                <w:sz w:val="13"/>
                                <w:szCs w:val="13"/>
                              </w:rPr>
                              <w:t>7</w:t>
                            </w:r>
                          </w:p>
                        </w:txbxContent>
                      </wps:txbx>
                      <wps:bodyPr lIns="0" tIns="0" rIns="0" bIns="0" upright="1"/>
                    </wps:wsp>
                  </a:graphicData>
                </a:graphic>
              </wp:anchor>
            </w:drawing>
          </mc:Choice>
          <mc:Fallback>
            <w:pict>
              <v:shape id="_x0000_s1026" o:spid="_x0000_s1026" o:spt="202" type="#_x0000_t202" style="position:absolute;left:0pt;margin-left:316.9pt;margin-top:-0.5pt;height:10.45pt;width:4.85pt;z-index:251666432;mso-width-relative:page;mso-height-relative:page;" filled="f" stroked="f" coordsize="21600,21600" o:gfxdata="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MusPfYAAAACQEAAA8AAAAAAAAAAQAgAAAAIgAAAGRycy9kb3ducmV2LnhtbFBLAQIU&#10;ABQAAAAIAIdO4kCjDclFugEAAHIDAAAOAAAAAAAAAAEAIAAAACcBAABkcnMvZTJvRG9jLnhtbFBL&#10;BQYAAAAABgAGAFkBAABTBQAAAAA=&#10;">
                <v:fill on="f" focussize="0,0"/>
                <v:stroke on="f"/>
                <v:imagedata o:title=""/>
                <o:lock v:ext="edit" aspectratio="f"/>
                <v:textbox inset="0mm,0mm,0mm,0mm">
                  <w:txbxContent>
                    <w:p w14:paraId="7B346180">
                      <w:pPr>
                        <w:spacing w:before="19"/>
                        <w:ind w:left="20"/>
                        <w:rPr>
                          <w:rFonts w:ascii="宋体" w:hAnsi="宋体" w:eastAsia="宋体" w:cs="宋体"/>
                          <w:sz w:val="13"/>
                          <w:szCs w:val="13"/>
                        </w:rPr>
                      </w:pPr>
                      <w:r>
                        <w:rPr>
                          <w:rFonts w:ascii="宋体" w:hAnsi="宋体" w:eastAsia="宋体" w:cs="宋体"/>
                          <w:sz w:val="13"/>
                          <w:szCs w:val="13"/>
                        </w:rPr>
                        <w:t>7</w:t>
                      </w:r>
                    </w:p>
                  </w:txbxContent>
                </v:textbox>
              </v:shape>
            </w:pict>
          </mc:Fallback>
        </mc:AlternateContent>
      </w:r>
    </w:p>
    <w:p w14:paraId="56E0ED3D">
      <w:pPr>
        <w:pStyle w:val="11"/>
        <w:bidi w:val="0"/>
      </w:pPr>
      <w:r>
        <w:drawing>
          <wp:inline distT="0" distB="0" distL="114300" distR="114300">
            <wp:extent cx="3823335" cy="1991360"/>
            <wp:effectExtent l="0" t="0" r="12065" b="254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6"/>
                    <a:stretch>
                      <a:fillRect/>
                    </a:stretch>
                  </pic:blipFill>
                  <pic:spPr>
                    <a:xfrm>
                      <a:off x="0" y="0"/>
                      <a:ext cx="3823335" cy="1991360"/>
                    </a:xfrm>
                    <a:prstGeom prst="rect">
                      <a:avLst/>
                    </a:prstGeom>
                    <a:noFill/>
                    <a:ln>
                      <a:noFill/>
                    </a:ln>
                  </pic:spPr>
                </pic:pic>
              </a:graphicData>
            </a:graphic>
          </wp:inline>
        </w:drawing>
      </w:r>
    </w:p>
    <w:p w14:paraId="69E73B70">
      <w:pPr>
        <w:pStyle w:val="11"/>
        <w:bidi w:val="0"/>
      </w:pPr>
      <w:r>
        <w:t>图13</w:t>
      </w:r>
      <w:r>
        <w:rPr>
          <w:rFonts w:hint="eastAsia"/>
          <w:lang w:val="en-US" w:eastAsia="zh-CN"/>
        </w:rPr>
        <w:t xml:space="preserve">  </w:t>
      </w:r>
      <w:r>
        <w:t>2020—2024年进口未锻轧铜及比上年增长速度图</w:t>
      </w:r>
    </w:p>
    <w:p w14:paraId="0B4840DC">
      <w:pPr>
        <w:pStyle w:val="11"/>
        <w:bidi w:val="0"/>
      </w:pPr>
      <w:r>
        <w:t>数据来源：海关总署，中国有色金属工业协会</w:t>
      </w:r>
    </w:p>
    <w:p w14:paraId="75DF4E70">
      <w:pPr>
        <w:pStyle w:val="11"/>
        <w:bidi w:val="0"/>
      </w:pPr>
      <w:r>
        <w:drawing>
          <wp:inline distT="0" distB="0" distL="114300" distR="114300">
            <wp:extent cx="3975100" cy="2164715"/>
            <wp:effectExtent l="0" t="0" r="0" b="698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27"/>
                    <a:stretch>
                      <a:fillRect/>
                    </a:stretch>
                  </pic:blipFill>
                  <pic:spPr>
                    <a:xfrm>
                      <a:off x="0" y="0"/>
                      <a:ext cx="3975100" cy="2164715"/>
                    </a:xfrm>
                    <a:prstGeom prst="rect">
                      <a:avLst/>
                    </a:prstGeom>
                    <a:noFill/>
                    <a:ln>
                      <a:noFill/>
                    </a:ln>
                  </pic:spPr>
                </pic:pic>
              </a:graphicData>
            </a:graphic>
          </wp:inline>
        </w:drawing>
      </w:r>
    </w:p>
    <w:p w14:paraId="42F23B2D">
      <w:pPr>
        <w:pStyle w:val="11"/>
        <w:bidi w:val="0"/>
      </w:pPr>
      <w:r>
        <w:t>图14</w:t>
      </w:r>
      <w:r>
        <w:rPr>
          <w:rFonts w:hint="eastAsia"/>
          <w:lang w:val="en-US" w:eastAsia="zh-CN"/>
        </w:rPr>
        <w:t xml:space="preserve">  </w:t>
      </w:r>
      <w:r>
        <w:t>2020—2024年出口铜材及比上年增长速度图</w:t>
      </w:r>
    </w:p>
    <w:p w14:paraId="0F7D54EB">
      <w:pPr>
        <w:pStyle w:val="11"/>
        <w:bidi w:val="0"/>
      </w:pPr>
      <w:r>
        <w:t>数据来源：海关总署，中国有色金属工业协会</w:t>
      </w:r>
    </w:p>
    <w:p w14:paraId="28C270E9">
      <w:pPr>
        <w:bidi w:val="0"/>
        <w:rPr>
          <w:rFonts w:hint="eastAsia"/>
        </w:rPr>
      </w:pPr>
      <w:r>
        <w:t>进口铝土矿15876.7万吨，比上年增长12.4%(见图15);进口氧化铝142.0万吨，下降22.3%;进口未锻轧铝334.9万吨，增长25.2%,其中进口非合金铝(原铝)213.7万吨，增长38.6%;进口铝材39.8万吨，增长3.6%;进口铝废料实物量178.2万吨，增长1.7%。出口氧化铝178.6万吨，增长42.7%;出口未锻轧铝36.3万吨，下降7.2%;出口铝材630.1万吨，增长19.3%(见图16)。2024年，净进口未锻轧铝298.6万吨，增长30.7%;净出口铝材590.3万吨，增长20.5%。</w:t>
      </w:r>
    </w:p>
    <w:p w14:paraId="39A95D30">
      <w:pPr>
        <w:pStyle w:val="11"/>
        <w:bidi w:val="0"/>
      </w:pPr>
      <w:r>
        <w:rPr>
          <w:rFonts w:hint="eastAsia"/>
          <w:lang w:eastAsia="zh-CN"/>
        </w:rPr>
        <w:tab/>
      </w:r>
      <w:r>
        <w:drawing>
          <wp:inline distT="0" distB="0" distL="114300" distR="114300">
            <wp:extent cx="4505960" cy="2298065"/>
            <wp:effectExtent l="0" t="0" r="2540" b="63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8"/>
                    <a:stretch>
                      <a:fillRect/>
                    </a:stretch>
                  </pic:blipFill>
                  <pic:spPr>
                    <a:xfrm>
                      <a:off x="0" y="0"/>
                      <a:ext cx="4505960" cy="2298065"/>
                    </a:xfrm>
                    <a:prstGeom prst="rect">
                      <a:avLst/>
                    </a:prstGeom>
                    <a:noFill/>
                    <a:ln>
                      <a:noFill/>
                    </a:ln>
                  </pic:spPr>
                </pic:pic>
              </a:graphicData>
            </a:graphic>
          </wp:inline>
        </w:drawing>
      </w:r>
    </w:p>
    <w:p w14:paraId="289128A8">
      <w:pPr>
        <w:pStyle w:val="11"/>
        <w:bidi w:val="0"/>
      </w:pPr>
      <w:r>
        <w:t>图15</w:t>
      </w:r>
      <w:r>
        <w:rPr>
          <w:rFonts w:hint="eastAsia"/>
          <w:lang w:val="en-US" w:eastAsia="zh-CN"/>
        </w:rPr>
        <w:t xml:space="preserve">  </w:t>
      </w:r>
      <w:r>
        <w:t>2020—2024年进口铝土矿及比上年增长速度图</w:t>
      </w:r>
    </w:p>
    <w:p w14:paraId="49C92C52">
      <w:pPr>
        <w:pStyle w:val="11"/>
        <w:bidi w:val="0"/>
      </w:pPr>
      <w:r>
        <w:t>数据来源：海关总署，中国有色金属工业协会</w:t>
      </w:r>
    </w:p>
    <w:p w14:paraId="2E250EBA">
      <w:pPr>
        <w:pStyle w:val="11"/>
        <w:bidi w:val="0"/>
      </w:pPr>
      <w:r>
        <w:drawing>
          <wp:inline distT="0" distB="0" distL="114300" distR="114300">
            <wp:extent cx="4414520" cy="2339975"/>
            <wp:effectExtent l="0" t="0" r="5080" b="9525"/>
            <wp:docPr id="29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6"/>
                    <pic:cNvPicPr>
                      <a:picLocks noChangeAspect="1"/>
                    </pic:cNvPicPr>
                  </pic:nvPicPr>
                  <pic:blipFill>
                    <a:blip r:embed="rId29"/>
                    <a:stretch>
                      <a:fillRect/>
                    </a:stretch>
                  </pic:blipFill>
                  <pic:spPr>
                    <a:xfrm>
                      <a:off x="0" y="0"/>
                      <a:ext cx="4414520" cy="2339975"/>
                    </a:xfrm>
                    <a:prstGeom prst="rect">
                      <a:avLst/>
                    </a:prstGeom>
                    <a:noFill/>
                    <a:ln>
                      <a:noFill/>
                    </a:ln>
                  </pic:spPr>
                </pic:pic>
              </a:graphicData>
            </a:graphic>
          </wp:inline>
        </w:drawing>
      </w:r>
    </w:p>
    <w:p w14:paraId="52C47EFB">
      <w:pPr>
        <w:pStyle w:val="11"/>
        <w:bidi w:val="0"/>
      </w:pPr>
      <w:r>
        <w:t>图162020—2024年出口铝材及比上年增长速度图</w:t>
      </w:r>
    </w:p>
    <w:p w14:paraId="222CBFB9">
      <w:pPr>
        <w:pStyle w:val="11"/>
        <w:bidi w:val="0"/>
      </w:pPr>
      <w:r>
        <w:t>数据来源：海关总署，中国有色金属工业协会</w:t>
      </w:r>
    </w:p>
    <w:p w14:paraId="40403EBD">
      <w:pPr>
        <w:spacing w:line="291" w:lineRule="auto"/>
        <w:rPr>
          <w:rFonts w:ascii="Arial"/>
          <w:sz w:val="21"/>
        </w:rPr>
      </w:pPr>
    </w:p>
    <w:p w14:paraId="0D0DFE94">
      <w:pPr>
        <w:pStyle w:val="5"/>
        <w:widowControl/>
      </w:pPr>
      <w:r>
        <w:t>3.进口铅精矿增长、锌精矿下降，进口未锻轧铅、未锻轧锌均增长</w:t>
      </w:r>
    </w:p>
    <w:p w14:paraId="41EB25DC">
      <w:pPr>
        <w:bidi w:val="0"/>
      </w:pPr>
      <w:r>
        <w:t>2024年，铅产品进口额为24.9亿美元，比上年增长42.6%;出口额为1.1亿美元，下降77.2%。进口铅精矿实物量123.8万吨，增长9.5%;进口未锻轧铅22.1万吨，增长327.6%。出口未锻轧铅3.3万吨，下降83.7%。</w:t>
      </w:r>
    </w:p>
    <w:p w14:paraId="52CA725F">
      <w:pPr>
        <w:bidi w:val="0"/>
      </w:pPr>
      <w:r>
        <w:t>2024年，锌产品进口额为58.0亿美元，比上年增长12.7%;出口额为1.2亿美元，增长26.5%。进口未锻轧锌49.5万吨，增长15.3%;进口锌精矿实物量407.9万吨，下降13.5%。出口未锻轧锌2.2万吨，增长85.8%。</w:t>
      </w:r>
    </w:p>
    <w:p w14:paraId="13BEFFCE">
      <w:pPr>
        <w:pStyle w:val="5"/>
        <w:widowControl/>
      </w:pPr>
      <w:r>
        <w:t>4.进口镍矿、钴矿均下降</w:t>
      </w:r>
    </w:p>
    <w:p w14:paraId="2CE81AB3">
      <w:pPr>
        <w:bidi w:val="0"/>
      </w:pPr>
      <w:r>
        <w:t>2024年，镍产品进口额为61.3亿美元，比上年下降20.2%;出口额为28.7亿美元，增长85.1%。进口镍矿实物量3793.9万吨，下降14.7%(见图17);进口未锻轧镍10.0万吨，增长5.4%;出口未锻轧镍12.3万吨，增长235.3%。</w:t>
      </w:r>
    </w:p>
    <w:p w14:paraId="5CB4F707">
      <w:pPr>
        <w:pStyle w:val="24"/>
        <w:widowControl/>
      </w:pPr>
      <w:r>
        <w:drawing>
          <wp:inline distT="0" distB="0" distL="114300" distR="114300">
            <wp:extent cx="4323715" cy="2235200"/>
            <wp:effectExtent l="0" t="0" r="6985" b="0"/>
            <wp:docPr id="29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7"/>
                    <pic:cNvPicPr>
                      <a:picLocks noChangeAspect="1"/>
                    </pic:cNvPicPr>
                  </pic:nvPicPr>
                  <pic:blipFill>
                    <a:blip r:embed="rId30"/>
                    <a:stretch>
                      <a:fillRect/>
                    </a:stretch>
                  </pic:blipFill>
                  <pic:spPr>
                    <a:xfrm>
                      <a:off x="0" y="0"/>
                      <a:ext cx="4323715" cy="2235200"/>
                    </a:xfrm>
                    <a:prstGeom prst="rect">
                      <a:avLst/>
                    </a:prstGeom>
                    <a:noFill/>
                    <a:ln>
                      <a:noFill/>
                    </a:ln>
                  </pic:spPr>
                </pic:pic>
              </a:graphicData>
            </a:graphic>
          </wp:inline>
        </w:drawing>
      </w:r>
    </w:p>
    <w:p w14:paraId="1231BACC">
      <w:pPr>
        <w:pStyle w:val="24"/>
        <w:widowControl/>
      </w:pPr>
      <w:r>
        <w:t>图17</w:t>
      </w:r>
      <w:r>
        <w:rPr>
          <w:rFonts w:hint="eastAsia"/>
          <w:lang w:val="en-US" w:eastAsia="zh-CN"/>
        </w:rPr>
        <w:t xml:space="preserve">  </w:t>
      </w:r>
      <w:r>
        <w:t>2020—2024年进口镍矿及比上年增长速度图</w:t>
      </w:r>
    </w:p>
    <w:p w14:paraId="34D8025A">
      <w:pPr>
        <w:pStyle w:val="11"/>
        <w:widowControl/>
      </w:pPr>
      <w:r>
        <w:t>数据来源：海关总署，中国有色金属工业协会</w:t>
      </w:r>
    </w:p>
    <w:p w14:paraId="1C028B29">
      <w:pPr>
        <w:spacing w:line="299" w:lineRule="auto"/>
        <w:rPr>
          <w:rFonts w:ascii="Arial"/>
          <w:sz w:val="21"/>
        </w:rPr>
      </w:pPr>
    </w:p>
    <w:p w14:paraId="3B5F426D">
      <w:pPr>
        <w:bidi w:val="0"/>
      </w:pPr>
      <w:r>
        <w:t>2024年，钴产品进口额为0.9亿美元，比上年下降32.5%;出口额为1.2亿美元，下降8.9%。进口钴矿实物量0.1万吨，下降94.8%;进口钴及钴制品649吨，下降21.2%。出口钴及钴制品234.0吨，增长6.9%;出口氧化钴4950吨，增长15.0%;出口碳酸钴2159吨，增长77.0%。</w:t>
      </w:r>
    </w:p>
    <w:p w14:paraId="31005658">
      <w:pPr>
        <w:pStyle w:val="5"/>
        <w:widowControl/>
      </w:pPr>
      <w:r>
        <w:t>5.未锻轧镁、钛材及制品出口增长</w:t>
      </w:r>
    </w:p>
    <w:p w14:paraId="6D36ECC7">
      <w:pPr>
        <w:bidi w:val="0"/>
      </w:pPr>
      <w:r>
        <w:t>2024年，镁产品出口额为12.9亿美元，比上年下降7.1%。出口未锻轧镁36.1万吨，增长13.7%;出口镁粒、粉8.3万吨，增长11.9%;出口镁材及制品0.8万吨，增长21.5%。</w:t>
      </w:r>
    </w:p>
    <w:p w14:paraId="4D298C08">
      <w:pPr>
        <w:bidi w:val="0"/>
      </w:pPr>
      <w:r>
        <w:t>2024年，钛产品进口额为22.0亿美元，比上年增长11.8%;出口额为1.6亿美元，增长21.8%。进口钛矿实物量505.3万吨，增长18.8%;进口钛</w:t>
      </w:r>
    </w:p>
    <w:p w14:paraId="48477564">
      <w:pPr>
        <w:bidi w:val="0"/>
      </w:pPr>
      <w:r>
        <w:t>材及制品7285吨，增长1.0%。出口海绵钛5993吨，增长2.7%;出口钛材及制品87636吨，增长258.8%。</w:t>
      </w:r>
    </w:p>
    <w:p w14:paraId="7F9244F1">
      <w:pPr>
        <w:pStyle w:val="5"/>
        <w:widowControl/>
      </w:pPr>
      <w:r>
        <w:t>6.进口钨、钼、锑矿增长、进口锡矿下降</w:t>
      </w:r>
    </w:p>
    <w:p w14:paraId="61976CCC">
      <w:pPr>
        <w:bidi w:val="0"/>
      </w:pPr>
      <w:r>
        <w:t>2024年，钨产品进口额为3.0亿美元，比上年增长54.6%;出口额为8.1亿美元，增长2.4%。进口钨矿实物量12414吨，增长114.0%;出口钨材及钨制品量5000吨，下降5.2%;出口钨酸盐2780吨，增长1.7%;出口氧化钨及氢氧化钨4569吨，下降9.6%。</w:t>
      </w:r>
    </w:p>
    <w:p w14:paraId="5066AE24">
      <w:pPr>
        <w:bidi w:val="0"/>
      </w:pPr>
      <w:r>
        <w:t>2024年，钼产品进口额为13.4亿美元，比上年增长14.4%;出口额为11.0亿美元，下降2.9%。进口钼矿实物量66480吨，比上年增长31.2%;出口钼矿实物量23941吨，增长11.3%;出口钼材及钼制品6675吨，增长10.8%;出口钼酸盐858吨，下降5.8%;出口氧化钼及氢氧化钼2923吨，增长1.8%。</w:t>
      </w:r>
    </w:p>
    <w:p w14:paraId="4B70F2D4">
      <w:pPr>
        <w:bidi w:val="0"/>
      </w:pPr>
      <w:r>
        <w:t>2024年，锡产品进口额为24.8亿美元，比上年下降0.7%;出口额为6.2亿美元，增长76.2%。进口锡矿实物量15.9万吨，比上年下降36.3%;进口未锻轧锡25493吨，下降27.0%;出口未锻轧锡17393吨，增长42.9%。</w:t>
      </w:r>
    </w:p>
    <w:p w14:paraId="077D85BE">
      <w:pPr>
        <w:bidi w:val="0"/>
      </w:pPr>
      <w:r>
        <w:t>2024年，锑产品进口额为3.0亿美元，比上年增长82.1%;出口额为5.3亿美元，增长18.0%。进口锑矿实物量5.4万吨，比上年增长53.0%;出口未锻轧锑3834吨，下降26.8%;出口氧化锑30421吨，下降15.0%。</w:t>
      </w:r>
    </w:p>
    <w:p w14:paraId="0D5647DA">
      <w:pPr>
        <w:pStyle w:val="5"/>
        <w:widowControl/>
      </w:pPr>
      <w:r>
        <w:t>7.稀土产品出口量增额降</w:t>
      </w:r>
    </w:p>
    <w:p w14:paraId="7EF4D442">
      <w:pPr>
        <w:bidi w:val="0"/>
      </w:pPr>
      <w:r>
        <w:t>2024年，稀土产品进口额为15.5亿美元，比上年下降29.7%;出口额为4.9亿美元，下降36.0%。稀土出口量5.5万吨，比上年增长6.0%(见图18)。</w:t>
      </w:r>
    </w:p>
    <w:p w14:paraId="6E77B6A3">
      <w:pPr>
        <w:pStyle w:val="24"/>
        <w:widowControl/>
      </w:pPr>
      <w:r>
        <w:drawing>
          <wp:inline distT="0" distB="0" distL="114300" distR="114300">
            <wp:extent cx="4266565" cy="2205355"/>
            <wp:effectExtent l="0" t="0" r="635" b="4445"/>
            <wp:docPr id="29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18"/>
                    <pic:cNvPicPr>
                      <a:picLocks noChangeAspect="1"/>
                    </pic:cNvPicPr>
                  </pic:nvPicPr>
                  <pic:blipFill>
                    <a:blip r:embed="rId31"/>
                    <a:stretch>
                      <a:fillRect/>
                    </a:stretch>
                  </pic:blipFill>
                  <pic:spPr>
                    <a:xfrm>
                      <a:off x="0" y="0"/>
                      <a:ext cx="4266565" cy="2205355"/>
                    </a:xfrm>
                    <a:prstGeom prst="rect">
                      <a:avLst/>
                    </a:prstGeom>
                    <a:noFill/>
                    <a:ln>
                      <a:noFill/>
                    </a:ln>
                  </pic:spPr>
                </pic:pic>
              </a:graphicData>
            </a:graphic>
          </wp:inline>
        </w:drawing>
      </w:r>
    </w:p>
    <w:p w14:paraId="04BEF572">
      <w:pPr>
        <w:pStyle w:val="11"/>
        <w:bidi w:val="0"/>
      </w:pPr>
      <w:r>
        <w:t>图18</w:t>
      </w:r>
      <w:r>
        <w:rPr>
          <w:rFonts w:hint="eastAsia"/>
          <w:lang w:val="en-US" w:eastAsia="zh-CN"/>
        </w:rPr>
        <w:t xml:space="preserve">  </w:t>
      </w:r>
      <w:r>
        <w:t>2020—2024年出口稀土及比上年增长速度图</w:t>
      </w:r>
    </w:p>
    <w:p w14:paraId="4D6629B7">
      <w:pPr>
        <w:pStyle w:val="11"/>
        <w:bidi w:val="0"/>
      </w:pPr>
      <w:r>
        <w:t>数据来源：海关总署</w:t>
      </w:r>
    </w:p>
    <w:p w14:paraId="56B655BB">
      <w:pPr>
        <w:pStyle w:val="5"/>
        <w:widowControl/>
      </w:pPr>
      <w:r>
        <w:t>8.黄金、白银产品进出口额均持续增长</w:t>
      </w:r>
    </w:p>
    <w:p w14:paraId="473D8A85">
      <w:pPr>
        <w:bidi w:val="0"/>
      </w:pPr>
      <w:r>
        <w:t>2024年，黄金进口额为1027.2亿美元，比上年增加108.0亿美元，增幅达11.8%,占有色金属产品进口额的比重为34.3%,拉动有色金属产品进口额增长4.0个百分点；黄金出口额为123.6亿美元，增长217.6%,占有色金属产品出口额的比重为17.9%,拉动有色金属产品出口额增长14.2个百分点。黄金贸易逆差为903.6亿美元，占有色金属贸易逆差的39.1%。</w:t>
      </w:r>
    </w:p>
    <w:p w14:paraId="6ED30D15">
      <w:pPr>
        <w:bidi w:val="0"/>
      </w:pPr>
      <w:r>
        <w:t>2024年，未锻轧银、银首饰及零件进口额为16.1亿美元，比上年增长20.7%;出口额为45.5亿美元，增长17.5%。</w:t>
      </w:r>
    </w:p>
    <w:p w14:paraId="4D24AFE9">
      <w:pPr>
        <w:pStyle w:val="5"/>
        <w:widowControl/>
      </w:pPr>
      <w:r>
        <w:t>9.进口碳酸锂量增额降，出口氢氧化锂量额均降</w:t>
      </w:r>
    </w:p>
    <w:p w14:paraId="3E40D68D">
      <w:pPr>
        <w:bidi w:val="0"/>
      </w:pPr>
      <w:r>
        <w:t>2024年，锂产品进口额为28.7亿美元，比上年下降56.0%;出口额为23.8亿美元，下降65.7%。进口金属锂96.0吨，比上年增长243.8%;进口氢氧化锂8171.0吨，增长114.7%;进口碳酸锂23.5万吨，增长48.0%。出口金属锂655.0吨，增长10.3%;出口氢氧化锂12.1万吨，下降7.1%;出口碳酸锂3828.0吨，下降60.1%。</w:t>
      </w:r>
    </w:p>
    <w:p w14:paraId="41092826">
      <w:pPr>
        <w:pStyle w:val="5"/>
        <w:widowControl/>
      </w:pPr>
      <w:r>
        <w:t>10.出口工业硅、多晶硅均为量增额降</w:t>
      </w:r>
    </w:p>
    <w:p w14:paraId="36C6A665">
      <w:pPr>
        <w:bidi w:val="0"/>
      </w:pPr>
      <w:r>
        <w:t>2024年，硅产品进口额为33.4亿美元，比上年下降20.8%;出口额43.9亿美元，下降42.7%。进口工业硅3.0万吨，比上年增长355.9%;进口多晶硅4.0万吨，下降36.7%。出口工业硅72.5万吨，增长28.5%;出口多晶硅4.0万吨，增长372.9%。</w:t>
      </w:r>
    </w:p>
    <w:p w14:paraId="5AACD1F6">
      <w:pPr>
        <w:pStyle w:val="3"/>
        <w:bidi w:val="0"/>
        <w:jc w:val="both"/>
        <w:rPr>
          <w:rFonts w:hint="eastAsia" w:ascii="黑体" w:hAnsi="黑体" w:eastAsia="黑体" w:cs="黑体"/>
          <w:b w:val="0"/>
        </w:rPr>
      </w:pPr>
      <w:bookmarkStart w:id="6" w:name="_Toc28336"/>
      <w:r>
        <w:rPr>
          <w:rFonts w:hint="eastAsia"/>
          <w:lang w:val="en-US" w:eastAsia="zh-CN"/>
        </w:rPr>
        <w:t>(四)</w:t>
      </w:r>
      <w:r>
        <w:t>铜、铝、铅、锌价格上涨，工业硅、电池级碳酸锂价格下跌</w:t>
      </w:r>
      <w:bookmarkEnd w:id="6"/>
    </w:p>
    <w:p w14:paraId="0A1F8C04">
      <w:pPr>
        <w:pStyle w:val="5"/>
        <w:widowControl/>
      </w:pPr>
      <w:r>
        <w:t>1.国内现货市场铜均价创近5年新高</w:t>
      </w:r>
    </w:p>
    <w:p w14:paraId="1E2C9C77">
      <w:pPr>
        <w:bidi w:val="0"/>
      </w:pPr>
      <w:r>
        <w:t>2024年末，LME及上期所三月期铜收盘价分别为8768美元/吨和73970元/吨，比上年末收盘价分别上涨2.4%和7.4%。2024年，LME三月期铜均价为9262美元/吨，上涨8.7%;上期所三月期铜均价为75131元/吨，上涨10.9%;国内现货市场铜均价为74904元/吨，上涨9.7%(见图19)。</w:t>
      </w:r>
    </w:p>
    <w:p w14:paraId="411166D3">
      <w:pPr>
        <w:pStyle w:val="5"/>
        <w:widowControl/>
      </w:pPr>
      <w:r>
        <w:t>2.国内现货市场铝均价为近5年的第二高</w:t>
      </w:r>
    </w:p>
    <w:p w14:paraId="0B3F2FBA">
      <w:pPr>
        <w:bidi w:val="0"/>
      </w:pPr>
      <w:r>
        <w:t>2024年末，LME及上期所三月期铝收盘价分别为2551.5美元/吨和19835元/吨，比上年末收盘价分别上涨7.0%和2.0%。2024年，LME三月期铝均价为2456美元/吨，上涨7.5%;上期所三月期铝均价为19992元/吨，上涨8.2%;国内现货市场铝均价19925元/吨，上涨6.5%(见图20)。</w:t>
      </w:r>
    </w:p>
    <w:p w14:paraId="6836E6DB">
      <w:pPr>
        <w:pStyle w:val="5"/>
        <w:widowControl/>
      </w:pPr>
      <w:r>
        <w:t>3.国内现货市场铅均价创近5年新高</w:t>
      </w:r>
    </w:p>
    <w:p w14:paraId="47E50B17">
      <w:pPr>
        <w:bidi w:val="0"/>
        <w:rPr>
          <w:rFonts w:ascii="Arial"/>
          <w:sz w:val="21"/>
        </w:rPr>
      </w:pPr>
      <w:r>
        <w:t>2024年末，LME及上期所三月期铅收盘价分别为1952美元/吨和16810元/吨，比上年末分别下跌5.6%、上涨5.9%。2024年，LME三月期铅均价</w:t>
      </w:r>
    </w:p>
    <w:p w14:paraId="72EBC946">
      <w:pPr>
        <w:pStyle w:val="11"/>
        <w:bidi w:val="0"/>
      </w:pPr>
      <w:r>
        <w:drawing>
          <wp:inline distT="0" distB="0" distL="114300" distR="114300">
            <wp:extent cx="4375785" cy="2122170"/>
            <wp:effectExtent l="0" t="0" r="5715" b="11430"/>
            <wp:docPr id="29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9"/>
                    <pic:cNvPicPr>
                      <a:picLocks noChangeAspect="1"/>
                    </pic:cNvPicPr>
                  </pic:nvPicPr>
                  <pic:blipFill>
                    <a:blip r:embed="rId32"/>
                    <a:stretch>
                      <a:fillRect/>
                    </a:stretch>
                  </pic:blipFill>
                  <pic:spPr>
                    <a:xfrm>
                      <a:off x="0" y="0"/>
                      <a:ext cx="4375785" cy="2122170"/>
                    </a:xfrm>
                    <a:prstGeom prst="rect">
                      <a:avLst/>
                    </a:prstGeom>
                    <a:noFill/>
                    <a:ln>
                      <a:noFill/>
                    </a:ln>
                  </pic:spPr>
                </pic:pic>
              </a:graphicData>
            </a:graphic>
          </wp:inline>
        </w:drawing>
      </w:r>
    </w:p>
    <w:p w14:paraId="663AF4F9">
      <w:pPr>
        <w:pStyle w:val="11"/>
        <w:bidi w:val="0"/>
      </w:pPr>
      <w:r>
        <w:t>图19</w:t>
      </w:r>
      <w:r>
        <w:rPr>
          <w:rFonts w:hint="eastAsia"/>
          <w:lang w:val="en-US" w:eastAsia="zh-CN"/>
        </w:rPr>
        <w:t xml:space="preserve">  </w:t>
      </w:r>
      <w:r>
        <w:t>2020—2024年国内市场铜现货年均价及比上年涨跌幅度图</w:t>
      </w:r>
    </w:p>
    <w:p w14:paraId="096D4ECE">
      <w:pPr>
        <w:pStyle w:val="11"/>
        <w:bidi w:val="0"/>
      </w:pPr>
      <w:r>
        <w:t>数据来源：中国有色金属工业协会</w:t>
      </w:r>
    </w:p>
    <w:p w14:paraId="47D6F650">
      <w:pPr>
        <w:pStyle w:val="11"/>
        <w:bidi w:val="0"/>
      </w:pPr>
      <w:r>
        <w:drawing>
          <wp:inline distT="0" distB="0" distL="114300" distR="114300">
            <wp:extent cx="4248785" cy="2112010"/>
            <wp:effectExtent l="0" t="0" r="5715" b="8890"/>
            <wp:docPr id="29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0"/>
                    <pic:cNvPicPr>
                      <a:picLocks noChangeAspect="1"/>
                    </pic:cNvPicPr>
                  </pic:nvPicPr>
                  <pic:blipFill>
                    <a:blip r:embed="rId33"/>
                    <a:stretch>
                      <a:fillRect/>
                    </a:stretch>
                  </pic:blipFill>
                  <pic:spPr>
                    <a:xfrm>
                      <a:off x="0" y="0"/>
                      <a:ext cx="4248785" cy="2112010"/>
                    </a:xfrm>
                    <a:prstGeom prst="rect">
                      <a:avLst/>
                    </a:prstGeom>
                    <a:noFill/>
                    <a:ln>
                      <a:noFill/>
                    </a:ln>
                  </pic:spPr>
                </pic:pic>
              </a:graphicData>
            </a:graphic>
          </wp:inline>
        </w:drawing>
      </w:r>
    </w:p>
    <w:p w14:paraId="52637F92">
      <w:pPr>
        <w:pStyle w:val="11"/>
        <w:bidi w:val="0"/>
      </w:pPr>
      <w:r>
        <w:t>图20</w:t>
      </w:r>
      <w:r>
        <w:rPr>
          <w:rFonts w:hint="eastAsia"/>
          <w:lang w:val="en-US" w:eastAsia="zh-CN"/>
        </w:rPr>
        <w:t xml:space="preserve">  </w:t>
      </w:r>
      <w:r>
        <w:t>2020—2024年国内市场铝现货年均价及比上年涨跌幅度图</w:t>
      </w:r>
    </w:p>
    <w:p w14:paraId="3CE81D93">
      <w:pPr>
        <w:pStyle w:val="11"/>
        <w:bidi w:val="0"/>
      </w:pPr>
      <w:r>
        <w:t>数据来源：中国有色金属工业协会</w:t>
      </w:r>
    </w:p>
    <w:p w14:paraId="455F7888">
      <w:pPr>
        <w:spacing w:line="261" w:lineRule="auto"/>
        <w:rPr>
          <w:rFonts w:ascii="Arial"/>
          <w:sz w:val="21"/>
        </w:rPr>
      </w:pPr>
    </w:p>
    <w:p w14:paraId="05F18E46">
      <w:pPr>
        <w:bidi w:val="0"/>
        <w:ind w:left="0" w:leftChars="0" w:firstLine="0" w:firstLineChars="0"/>
      </w:pPr>
      <w:r>
        <w:t>2104美元/吨，下跌1.1%;上期所三月期铅均价为17178元/吨，上涨9.2%;国内现货市场铅均价为17285元/吨，上涨10.0%(见图21)。</w:t>
      </w:r>
    </w:p>
    <w:p w14:paraId="46998C56">
      <w:pPr>
        <w:pStyle w:val="5"/>
        <w:widowControl/>
      </w:pPr>
      <w:r>
        <w:t>4.国内现货市场锌均价为近5年的第二高</w:t>
      </w:r>
    </w:p>
    <w:p w14:paraId="0E9DC211">
      <w:pPr>
        <w:bidi w:val="0"/>
      </w:pPr>
      <w:r>
        <w:t>2024年末，LME及上期所三月期锌收盘价分别为2978.5美元/吨和25765元/吨，比上年末收盘价分别上涨12.1%和18.8%。2024年，LME三月期锌均价为2810美元/吨，上涨5.9%;上期所三月期锌均价为23341元/吨，上涨8.0%;国内现货市场锌均价为23312元/吨，上涨7.8%(见图22)。</w:t>
      </w:r>
    </w:p>
    <w:p w14:paraId="04410D64">
      <w:pPr>
        <w:pStyle w:val="5"/>
        <w:widowControl/>
      </w:pPr>
      <w:r>
        <w:t>5.国内现货市场工业硅均价持续下跌</w:t>
      </w:r>
    </w:p>
    <w:p w14:paraId="7787CDAF">
      <w:pPr>
        <w:bidi w:val="0"/>
      </w:pPr>
      <w:r>
        <w:t>2024年，国内现货市场工业硅均价13211元/吨，比上年下跌15.3%,比2021年均价下跌了9539元/吨，跌幅为41.9%(见图23)。</w:t>
      </w:r>
    </w:p>
    <w:p w14:paraId="4CC54ACC">
      <w:pPr>
        <w:pStyle w:val="11"/>
        <w:bidi w:val="0"/>
      </w:pPr>
      <w:r>
        <w:drawing>
          <wp:inline distT="0" distB="0" distL="114300" distR="114300">
            <wp:extent cx="4353560" cy="2165985"/>
            <wp:effectExtent l="0" t="0" r="2540" b="5715"/>
            <wp:docPr id="29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1"/>
                    <pic:cNvPicPr>
                      <a:picLocks noChangeAspect="1"/>
                    </pic:cNvPicPr>
                  </pic:nvPicPr>
                  <pic:blipFill>
                    <a:blip r:embed="rId34"/>
                    <a:stretch>
                      <a:fillRect/>
                    </a:stretch>
                  </pic:blipFill>
                  <pic:spPr>
                    <a:xfrm>
                      <a:off x="0" y="0"/>
                      <a:ext cx="4353560" cy="2165985"/>
                    </a:xfrm>
                    <a:prstGeom prst="rect">
                      <a:avLst/>
                    </a:prstGeom>
                    <a:noFill/>
                    <a:ln>
                      <a:noFill/>
                    </a:ln>
                  </pic:spPr>
                </pic:pic>
              </a:graphicData>
            </a:graphic>
          </wp:inline>
        </w:drawing>
      </w:r>
    </w:p>
    <w:p w14:paraId="0EC1DAFB">
      <w:pPr>
        <w:pStyle w:val="11"/>
        <w:bidi w:val="0"/>
      </w:pPr>
      <w:r>
        <w:t>图21</w:t>
      </w:r>
      <w:r>
        <w:rPr>
          <w:rFonts w:hint="eastAsia"/>
          <w:lang w:val="en-US" w:eastAsia="zh-CN"/>
        </w:rPr>
        <w:t xml:space="preserve">  </w:t>
      </w:r>
      <w:r>
        <w:t>2020—2024年国内市场铅现货年均价及比上年涨跌幅度图</w:t>
      </w:r>
    </w:p>
    <w:p w14:paraId="4D62BBBD">
      <w:pPr>
        <w:pStyle w:val="11"/>
        <w:bidi w:val="0"/>
      </w:pPr>
      <w:r>
        <mc:AlternateContent>
          <mc:Choice Requires="wps">
            <w:drawing>
              <wp:anchor distT="0" distB="0" distL="114300" distR="114300" simplePos="0" relativeHeight="251667456" behindDoc="0" locked="0" layoutInCell="1" allowOverlap="1">
                <wp:simplePos x="0" y="0"/>
                <wp:positionH relativeFrom="column">
                  <wp:posOffset>368935</wp:posOffset>
                </wp:positionH>
                <wp:positionV relativeFrom="paragraph">
                  <wp:posOffset>173990</wp:posOffset>
                </wp:positionV>
                <wp:extent cx="40640" cy="4762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40640" cy="47625"/>
                        </a:xfrm>
                        <a:prstGeom prst="rect">
                          <a:avLst/>
                        </a:prstGeom>
                        <a:noFill/>
                        <a:ln>
                          <a:noFill/>
                        </a:ln>
                      </wps:spPr>
                      <wps:txbx>
                        <w:txbxContent>
                          <w:p w14:paraId="7D79B872">
                            <w:pPr>
                              <w:spacing w:before="20" w:line="23" w:lineRule="exact"/>
                              <w:ind w:left="20"/>
                              <w:rPr>
                                <w:rFonts w:ascii="宋体" w:hAnsi="宋体" w:eastAsia="宋体" w:cs="宋体"/>
                                <w:sz w:val="4"/>
                                <w:szCs w:val="4"/>
                              </w:rPr>
                            </w:pPr>
                            <w:r>
                              <w:rPr>
                                <w:rFonts w:ascii="宋体" w:hAnsi="宋体" w:eastAsia="宋体" w:cs="宋体"/>
                                <w:spacing w:val="9"/>
                                <w:w w:val="127"/>
                                <w:position w:val="-1"/>
                                <w:sz w:val="4"/>
                                <w:szCs w:val="4"/>
                              </w:rPr>
                              <w:t>1</w:t>
                            </w:r>
                          </w:p>
                        </w:txbxContent>
                      </wps:txbx>
                      <wps:bodyPr vert="eaVert" lIns="0" tIns="0" rIns="0" bIns="0" upright="1"/>
                    </wps:wsp>
                  </a:graphicData>
                </a:graphic>
              </wp:anchor>
            </w:drawing>
          </mc:Choice>
          <mc:Fallback>
            <w:pict>
              <v:shape id="_x0000_s1026" o:spid="_x0000_s1026" o:spt="202" type="#_x0000_t202" style="position:absolute;left:0pt;margin-left:29.05pt;margin-top:13.7pt;height:3.75pt;width:3.2pt;z-index:251667456;mso-width-relative:page;mso-height-relative:page;" filled="f" stroked="f" coordsize="21600,21600" o:gfxdata="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UgZFl1QAAAAcBAAAPAAAAAAAAAAEAIAAAACIAAABkcnMvZG93bnJldi54bWxQ&#10;SwECFAAUAAAACACHTuJASVAlWcEBAAB/AwAADgAAAAAAAAABACAAAAAkAQAAZHJzL2Uyb0RvYy54&#10;bWxQSwUGAAAAAAYABgBZAQAAVwUAAAAA&#10;">
                <v:fill on="f" focussize="0,0"/>
                <v:stroke on="f"/>
                <v:imagedata o:title=""/>
                <o:lock v:ext="edit" aspectratio="f"/>
                <v:textbox inset="0mm,0mm,0mm,0mm" style="layout-flow:vertical-ideographic;">
                  <w:txbxContent>
                    <w:p w14:paraId="7D79B872">
                      <w:pPr>
                        <w:spacing w:before="20" w:line="23" w:lineRule="exact"/>
                        <w:ind w:left="20"/>
                        <w:rPr>
                          <w:rFonts w:ascii="宋体" w:hAnsi="宋体" w:eastAsia="宋体" w:cs="宋体"/>
                          <w:sz w:val="4"/>
                          <w:szCs w:val="4"/>
                        </w:rPr>
                      </w:pPr>
                      <w:r>
                        <w:rPr>
                          <w:rFonts w:ascii="宋体" w:hAnsi="宋体" w:eastAsia="宋体" w:cs="宋体"/>
                          <w:spacing w:val="9"/>
                          <w:w w:val="127"/>
                          <w:position w:val="-1"/>
                          <w:sz w:val="4"/>
                          <w:szCs w:val="4"/>
                        </w:rPr>
                        <w:t>1</w:t>
                      </w:r>
                    </w:p>
                  </w:txbxContent>
                </v:textbox>
              </v:shape>
            </w:pict>
          </mc:Fallback>
        </mc:AlternateContent>
      </w:r>
      <w:r>
        <w:t>数据来源：中国有色金属工业协会</w:t>
      </w:r>
    </w:p>
    <w:p w14:paraId="232398C8">
      <w:pPr>
        <w:pStyle w:val="11"/>
        <w:bidi w:val="0"/>
      </w:pPr>
      <w:r>
        <w:drawing>
          <wp:inline distT="0" distB="0" distL="114300" distR="114300">
            <wp:extent cx="4481830" cy="2201545"/>
            <wp:effectExtent l="0" t="0" r="1270" b="8255"/>
            <wp:docPr id="2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2"/>
                    <pic:cNvPicPr>
                      <a:picLocks noChangeAspect="1"/>
                    </pic:cNvPicPr>
                  </pic:nvPicPr>
                  <pic:blipFill>
                    <a:blip r:embed="rId35"/>
                    <a:stretch>
                      <a:fillRect/>
                    </a:stretch>
                  </pic:blipFill>
                  <pic:spPr>
                    <a:xfrm>
                      <a:off x="0" y="0"/>
                      <a:ext cx="4481830" cy="2201545"/>
                    </a:xfrm>
                    <a:prstGeom prst="rect">
                      <a:avLst/>
                    </a:prstGeom>
                    <a:noFill/>
                    <a:ln>
                      <a:noFill/>
                    </a:ln>
                  </pic:spPr>
                </pic:pic>
              </a:graphicData>
            </a:graphic>
          </wp:inline>
        </w:drawing>
      </w:r>
    </w:p>
    <w:p w14:paraId="0928BC2D">
      <w:pPr>
        <w:pStyle w:val="11"/>
        <w:bidi w:val="0"/>
      </w:pPr>
      <w:r>
        <w:t>图22</w:t>
      </w:r>
      <w:r>
        <w:rPr>
          <w:rFonts w:hint="eastAsia"/>
          <w:lang w:val="en-US" w:eastAsia="zh-CN"/>
        </w:rPr>
        <w:t xml:space="preserve">  </w:t>
      </w:r>
      <w:r>
        <w:t>2020—2024年国内市场锌现货年均价及比上年涨跌幅度图</w:t>
      </w:r>
    </w:p>
    <w:p w14:paraId="15DD5EF0">
      <w:pPr>
        <w:pStyle w:val="11"/>
        <w:bidi w:val="0"/>
      </w:pPr>
      <w:r>
        <w:t>数据来源：中国有色金属工业协会</w:t>
      </w:r>
    </w:p>
    <w:p w14:paraId="08DFF038">
      <w:pPr>
        <w:pStyle w:val="11"/>
        <w:bidi w:val="0"/>
      </w:pPr>
      <w:r>
        <w:drawing>
          <wp:inline distT="0" distB="0" distL="114300" distR="114300">
            <wp:extent cx="4359910" cy="2070735"/>
            <wp:effectExtent l="0" t="0" r="8890" b="12065"/>
            <wp:docPr id="30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3"/>
                    <pic:cNvPicPr>
                      <a:picLocks noChangeAspect="1"/>
                    </pic:cNvPicPr>
                  </pic:nvPicPr>
                  <pic:blipFill>
                    <a:blip r:embed="rId36"/>
                    <a:stretch>
                      <a:fillRect/>
                    </a:stretch>
                  </pic:blipFill>
                  <pic:spPr>
                    <a:xfrm>
                      <a:off x="0" y="0"/>
                      <a:ext cx="4359910" cy="2070735"/>
                    </a:xfrm>
                    <a:prstGeom prst="rect">
                      <a:avLst/>
                    </a:prstGeom>
                    <a:noFill/>
                    <a:ln>
                      <a:noFill/>
                    </a:ln>
                  </pic:spPr>
                </pic:pic>
              </a:graphicData>
            </a:graphic>
          </wp:inline>
        </w:drawing>
      </w:r>
    </w:p>
    <w:p w14:paraId="63508BD1">
      <w:pPr>
        <w:pStyle w:val="11"/>
        <w:bidi w:val="0"/>
      </w:pPr>
      <w:r>
        <w:t>图23</w:t>
      </w:r>
      <w:r>
        <w:rPr>
          <w:rFonts w:hint="eastAsia"/>
          <w:lang w:val="en-US" w:eastAsia="zh-CN"/>
        </w:rPr>
        <w:t xml:space="preserve">  </w:t>
      </w:r>
      <w:r>
        <w:t>2020—2024年国内市场工业硅现货年均价及比上年涨跌幅度图</w:t>
      </w:r>
    </w:p>
    <w:p w14:paraId="48DEB8ED">
      <w:pPr>
        <w:pStyle w:val="11"/>
        <w:bidi w:val="0"/>
      </w:pPr>
      <w:r>
        <w:t>数据来源：中国有色金属工业协会</w:t>
      </w:r>
    </w:p>
    <w:p w14:paraId="4BFD6D67">
      <w:pPr>
        <w:pStyle w:val="5"/>
        <w:widowControl/>
      </w:pPr>
      <w:r>
        <w:t>6.国内现货市场电池级碳酸锂均价大幅度下跌</w:t>
      </w:r>
    </w:p>
    <w:p w14:paraId="1CB0181F">
      <w:pPr>
        <w:bidi w:val="0"/>
      </w:pPr>
      <w:r>
        <w:t>2024年，国内现货市场电池级碳酸锂均价9.1万元/吨，比上年下跌65.3%,比2022年均价下跌了40.5万元/吨，跌幅为81.7%(见图24)。</w:t>
      </w:r>
    </w:p>
    <w:p w14:paraId="4A279477">
      <w:pPr>
        <w:pStyle w:val="11"/>
        <w:bidi w:val="0"/>
      </w:pPr>
      <w:r>
        <w:drawing>
          <wp:inline distT="0" distB="0" distL="114300" distR="114300">
            <wp:extent cx="4152265" cy="2061845"/>
            <wp:effectExtent l="0" t="0" r="635" b="8255"/>
            <wp:docPr id="30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24"/>
                    <pic:cNvPicPr>
                      <a:picLocks noChangeAspect="1"/>
                    </pic:cNvPicPr>
                  </pic:nvPicPr>
                  <pic:blipFill>
                    <a:blip r:embed="rId37"/>
                    <a:stretch>
                      <a:fillRect/>
                    </a:stretch>
                  </pic:blipFill>
                  <pic:spPr>
                    <a:xfrm>
                      <a:off x="0" y="0"/>
                      <a:ext cx="4152265" cy="2061845"/>
                    </a:xfrm>
                    <a:prstGeom prst="rect">
                      <a:avLst/>
                    </a:prstGeom>
                    <a:noFill/>
                    <a:ln>
                      <a:noFill/>
                    </a:ln>
                  </pic:spPr>
                </pic:pic>
              </a:graphicData>
            </a:graphic>
          </wp:inline>
        </w:drawing>
      </w:r>
    </w:p>
    <w:p w14:paraId="4DA9AA87">
      <w:pPr>
        <w:pStyle w:val="11"/>
        <w:bidi w:val="0"/>
      </w:pPr>
      <w:r>
        <w:t>图24</w:t>
      </w:r>
      <w:r>
        <w:rPr>
          <w:rFonts w:hint="eastAsia"/>
          <w:lang w:val="en-US" w:eastAsia="zh-CN"/>
        </w:rPr>
        <w:t xml:space="preserve">  </w:t>
      </w:r>
      <w:r>
        <w:t>2020—2024年国内市场电池级碳酸锂现货年均价及比上年涨跌幅度图</w:t>
      </w:r>
    </w:p>
    <w:p w14:paraId="7DCA9028">
      <w:pPr>
        <w:pStyle w:val="11"/>
        <w:bidi w:val="0"/>
      </w:pPr>
      <w:r>
        <w:t>数据来源：中国有色金属工业协会</w:t>
      </w:r>
    </w:p>
    <w:p w14:paraId="500641D5">
      <w:pPr>
        <w:spacing w:line="257" w:lineRule="auto"/>
        <w:rPr>
          <w:rFonts w:ascii="Arial"/>
          <w:sz w:val="21"/>
        </w:rPr>
      </w:pPr>
    </w:p>
    <w:p w14:paraId="09CA4EA3">
      <w:pPr>
        <w:pStyle w:val="3"/>
        <w:widowControl/>
        <w:numPr>
          <w:ilvl w:val="0"/>
          <w:numId w:val="1"/>
        </w:numPr>
        <w:ind w:left="0" w:leftChars="0" w:firstLine="0" w:firstLineChars="0"/>
        <w:rPr>
          <w:rFonts w:hint="eastAsia" w:ascii="黑体" w:hAnsi="黑体" w:eastAsia="黑体" w:cs="黑体"/>
          <w:b w:val="0"/>
        </w:rPr>
      </w:pPr>
      <w:bookmarkStart w:id="7" w:name="_Toc16034"/>
      <w:r>
        <w:t>规上有色金属企业实现利润初步统计数首次超过4000亿元大关</w:t>
      </w:r>
      <w:bookmarkEnd w:id="7"/>
    </w:p>
    <w:p w14:paraId="7DC49F70">
      <w:pPr>
        <w:pStyle w:val="5"/>
        <w:widowControl/>
        <w:numPr>
          <w:ilvl w:val="0"/>
          <w:numId w:val="3"/>
        </w:numPr>
        <w:ind w:left="0" w:leftChars="0" w:firstLine="0" w:firstLineChars="0"/>
        <w:rPr>
          <w:b w:val="0"/>
        </w:rPr>
      </w:pPr>
      <w:r>
        <w:t>规上有色金属企业实现利润4238.8亿元</w:t>
      </w:r>
    </w:p>
    <w:p w14:paraId="6A90405F">
      <w:pPr>
        <w:bidi w:val="0"/>
      </w:pPr>
      <w:r>
        <w:t>根据国家统计局初步统计，2024年11648家规上有色金属工业企业实现营业收入89788.2亿元，比上年增长(按可比口径计算，下同)15.8%(见图25)。规上有色金属工业企业实现利润总额4238.8亿元，比上年增长15.6%(见图26)。其中，有色独立矿山企业实现利润917.9亿元，增长17.3%,占21.6%;有色冶炼企业实现利润2303.9亿元，增长27.0%,占54.4%;有色加工企业实现利润1017.0亿元，下降4.8%,占24.0%。2024年末规上有色金属工业企业资产总额为60896.8亿元，比上年末增长4.8%(见图27)。</w:t>
      </w:r>
    </w:p>
    <w:p w14:paraId="3770BF34">
      <w:pPr>
        <w:pStyle w:val="5"/>
        <w:widowControl/>
        <w:numPr>
          <w:ilvl w:val="0"/>
          <w:numId w:val="3"/>
        </w:numPr>
        <w:ind w:left="0" w:leftChars="0" w:firstLine="0" w:firstLineChars="0"/>
        <w:rPr>
          <w:b w:val="0"/>
        </w:rPr>
      </w:pPr>
      <w:r>
        <w:t>亏损企业亏损额增加，尤其是铝压延加工亏损企业亏损额大幅度增加</w:t>
      </w:r>
    </w:p>
    <w:p w14:paraId="69A65A48">
      <w:pPr>
        <w:bidi w:val="0"/>
      </w:pPr>
      <w:r>
        <w:t>2024年，11648家规上有色金属工业企业中亏损企业为2878家，亏损户数比上年增加19家，亏损面为24.7%,比上年扩大0.2个百分点。规上有色金属亏损企业亏损额604.8亿元，比上年增亏额201.5亿元，增亏幅度达50.0%。其中，铝压延加工亏损企业亏损额293.3亿元，比上年增亏额194.2亿元，增亏幅度达195.9%;铝压延加工亏损企业增亏额占规上有色金属亏损企业增亏额的96.4%,拉动规上有色金属亏损企业增亏48.2个百分点。</w:t>
      </w:r>
    </w:p>
    <w:p w14:paraId="62508E82">
      <w:pPr>
        <w:pStyle w:val="11"/>
        <w:bidi w:val="0"/>
      </w:pPr>
      <w:r>
        <w:drawing>
          <wp:inline distT="0" distB="0" distL="114300" distR="114300">
            <wp:extent cx="3458210" cy="1878330"/>
            <wp:effectExtent l="0" t="0" r="8890" b="1270"/>
            <wp:docPr id="30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25"/>
                    <pic:cNvPicPr>
                      <a:picLocks noChangeAspect="1"/>
                    </pic:cNvPicPr>
                  </pic:nvPicPr>
                  <pic:blipFill>
                    <a:blip r:embed="rId38"/>
                    <a:stretch>
                      <a:fillRect/>
                    </a:stretch>
                  </pic:blipFill>
                  <pic:spPr>
                    <a:xfrm>
                      <a:off x="0" y="0"/>
                      <a:ext cx="3458210" cy="1878330"/>
                    </a:xfrm>
                    <a:prstGeom prst="rect">
                      <a:avLst/>
                    </a:prstGeom>
                    <a:noFill/>
                    <a:ln>
                      <a:noFill/>
                    </a:ln>
                  </pic:spPr>
                </pic:pic>
              </a:graphicData>
            </a:graphic>
          </wp:inline>
        </w:drawing>
      </w:r>
    </w:p>
    <w:p w14:paraId="3B8FEEC9">
      <w:pPr>
        <w:pStyle w:val="11"/>
        <w:bidi w:val="0"/>
      </w:pPr>
      <w:r>
        <w:t>图25</w:t>
      </w:r>
      <w:r>
        <w:rPr>
          <w:rFonts w:hint="eastAsia"/>
          <w:lang w:val="en-US" w:eastAsia="zh-CN"/>
        </w:rPr>
        <w:t xml:space="preserve">  </w:t>
      </w:r>
      <w:r>
        <w:t>2020—2024年规上有色金属企业实现营业收入及比上年增减幅度图</w:t>
      </w:r>
    </w:p>
    <w:p w14:paraId="4452B6DA">
      <w:pPr>
        <w:pStyle w:val="11"/>
        <w:bidi w:val="0"/>
      </w:pPr>
      <w:r>
        <w:t>数据来源：国家统计局，中国有色金属工业协会</w:t>
      </w:r>
    </w:p>
    <w:p w14:paraId="6851F3E0">
      <w:pPr>
        <w:pStyle w:val="11"/>
        <w:bidi w:val="0"/>
      </w:pPr>
    </w:p>
    <w:p w14:paraId="4C00CE3E">
      <w:pPr>
        <w:pStyle w:val="11"/>
        <w:bidi w:val="0"/>
      </w:pPr>
    </w:p>
    <w:p w14:paraId="11452062">
      <w:pPr>
        <w:pStyle w:val="11"/>
        <w:bidi w:val="0"/>
      </w:pPr>
      <w:r>
        <w:drawing>
          <wp:inline distT="0" distB="0" distL="114300" distR="114300">
            <wp:extent cx="4140835" cy="2139950"/>
            <wp:effectExtent l="0" t="0" r="12065" b="6350"/>
            <wp:docPr id="30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26"/>
                    <pic:cNvPicPr>
                      <a:picLocks noChangeAspect="1"/>
                    </pic:cNvPicPr>
                  </pic:nvPicPr>
                  <pic:blipFill>
                    <a:blip r:embed="rId39"/>
                    <a:stretch>
                      <a:fillRect/>
                    </a:stretch>
                  </pic:blipFill>
                  <pic:spPr>
                    <a:xfrm>
                      <a:off x="0" y="0"/>
                      <a:ext cx="4140835" cy="2139950"/>
                    </a:xfrm>
                    <a:prstGeom prst="rect">
                      <a:avLst/>
                    </a:prstGeom>
                    <a:noFill/>
                    <a:ln>
                      <a:noFill/>
                    </a:ln>
                  </pic:spPr>
                </pic:pic>
              </a:graphicData>
            </a:graphic>
          </wp:inline>
        </w:drawing>
      </w:r>
    </w:p>
    <w:p w14:paraId="38B9B28E">
      <w:pPr>
        <w:pStyle w:val="11"/>
        <w:bidi w:val="0"/>
      </w:pPr>
      <w:r>
        <w:t>图26</w:t>
      </w:r>
      <w:r>
        <w:rPr>
          <w:rFonts w:hint="eastAsia"/>
          <w:lang w:val="en-US" w:eastAsia="zh-CN"/>
        </w:rPr>
        <w:t xml:space="preserve">  </w:t>
      </w:r>
      <w:r>
        <w:t>2020—2024年规上有色金属企业实现利润及比上年增减幅度图</w:t>
      </w:r>
    </w:p>
    <w:p w14:paraId="474404EA">
      <w:pPr>
        <w:pStyle w:val="11"/>
        <w:bidi w:val="0"/>
      </w:pPr>
      <w:r>
        <w:t>数据来源：国家统计局，中国有色金属工业协会</w:t>
      </w:r>
    </w:p>
    <w:p w14:paraId="798760B8">
      <w:pPr>
        <w:pStyle w:val="11"/>
        <w:bidi w:val="0"/>
      </w:pPr>
      <w:r>
        <w:drawing>
          <wp:inline distT="0" distB="0" distL="114300" distR="114300">
            <wp:extent cx="4208780" cy="2166620"/>
            <wp:effectExtent l="0" t="0" r="7620" b="5080"/>
            <wp:docPr id="30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27"/>
                    <pic:cNvPicPr>
                      <a:picLocks noChangeAspect="1"/>
                    </pic:cNvPicPr>
                  </pic:nvPicPr>
                  <pic:blipFill>
                    <a:blip r:embed="rId40"/>
                    <a:stretch>
                      <a:fillRect/>
                    </a:stretch>
                  </pic:blipFill>
                  <pic:spPr>
                    <a:xfrm>
                      <a:off x="0" y="0"/>
                      <a:ext cx="4208780" cy="2166620"/>
                    </a:xfrm>
                    <a:prstGeom prst="rect">
                      <a:avLst/>
                    </a:prstGeom>
                    <a:noFill/>
                    <a:ln>
                      <a:noFill/>
                    </a:ln>
                  </pic:spPr>
                </pic:pic>
              </a:graphicData>
            </a:graphic>
          </wp:inline>
        </w:drawing>
      </w:r>
    </w:p>
    <w:p w14:paraId="73C0ACB6">
      <w:pPr>
        <w:pStyle w:val="11"/>
        <w:bidi w:val="0"/>
      </w:pPr>
      <w:r>
        <w:t>图27</w:t>
      </w:r>
      <w:r>
        <w:rPr>
          <w:rFonts w:hint="eastAsia"/>
          <w:lang w:val="en-US" w:eastAsia="zh-CN"/>
        </w:rPr>
        <w:t xml:space="preserve">  </w:t>
      </w:r>
      <w:r>
        <w:t>2020—2024年规上有色金属企业年末资产总额及比上年增减幅度图</w:t>
      </w:r>
    </w:p>
    <w:p w14:paraId="3D903518">
      <w:pPr>
        <w:pStyle w:val="11"/>
        <w:bidi w:val="0"/>
      </w:pPr>
      <w:r>
        <w:t>数据来源：国家统计局，中国有色金属工业协会</w:t>
      </w:r>
    </w:p>
    <w:p w14:paraId="4AD5A177">
      <w:pPr>
        <w:pStyle w:val="5"/>
        <w:widowControl/>
        <w:numPr>
          <w:ilvl w:val="0"/>
          <w:numId w:val="3"/>
        </w:numPr>
        <w:ind w:left="0" w:leftChars="0" w:firstLine="0" w:firstLineChars="0"/>
        <w:rPr>
          <w:b w:val="0"/>
        </w:rPr>
      </w:pPr>
      <w:r>
        <w:t>营业成本费用增幅小于营业收入增幅，百元营业收入中的成本费用减少</w:t>
      </w:r>
    </w:p>
    <w:p w14:paraId="37D9982A">
      <w:pPr>
        <w:bidi w:val="0"/>
      </w:pPr>
      <w:r>
        <w:t>2024年，11648家规上有色金属工业企业营业成本费用84305.5亿元，比上年增长14.9%,增幅比营业收入增幅低0.9个百分点。规上有色金属工业企业每百元营业收入中的成本费用93.89元(见图28),按可比口径计算比上年减少0.73元。其中，每百元营业收入中的营业成本91.64元，减少0.56元；每百元营业收入中的三项费用2.25元，减少0.17元。</w:t>
      </w:r>
    </w:p>
    <w:p w14:paraId="2AF4B94B">
      <w:pPr>
        <w:pStyle w:val="11"/>
        <w:bidi w:val="0"/>
      </w:pPr>
      <w:r>
        <w:drawing>
          <wp:inline distT="0" distB="0" distL="114300" distR="114300">
            <wp:extent cx="4124960" cy="2183130"/>
            <wp:effectExtent l="0" t="0" r="2540" b="1270"/>
            <wp:docPr id="30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28"/>
                    <pic:cNvPicPr>
                      <a:picLocks noChangeAspect="1"/>
                    </pic:cNvPicPr>
                  </pic:nvPicPr>
                  <pic:blipFill>
                    <a:blip r:embed="rId41"/>
                    <a:stretch>
                      <a:fillRect/>
                    </a:stretch>
                  </pic:blipFill>
                  <pic:spPr>
                    <a:xfrm>
                      <a:off x="0" y="0"/>
                      <a:ext cx="4124960" cy="2183130"/>
                    </a:xfrm>
                    <a:prstGeom prst="rect">
                      <a:avLst/>
                    </a:prstGeom>
                    <a:noFill/>
                    <a:ln>
                      <a:noFill/>
                    </a:ln>
                  </pic:spPr>
                </pic:pic>
              </a:graphicData>
            </a:graphic>
          </wp:inline>
        </w:drawing>
      </w:r>
    </w:p>
    <w:p w14:paraId="69B3DB73">
      <w:pPr>
        <w:pStyle w:val="11"/>
        <w:bidi w:val="0"/>
      </w:pPr>
      <w:r>
        <w:t>图28</w:t>
      </w:r>
      <w:r>
        <w:rPr>
          <w:rFonts w:hint="eastAsia"/>
          <w:lang w:val="en-US" w:eastAsia="zh-CN"/>
        </w:rPr>
        <w:t xml:space="preserve">  </w:t>
      </w:r>
      <w:r>
        <w:t>2020—2024年规上有色金属企业百元营业收入中成本费用增减变化图</w:t>
      </w:r>
    </w:p>
    <w:p w14:paraId="3EF1CC54">
      <w:pPr>
        <w:pStyle w:val="11"/>
        <w:bidi w:val="0"/>
      </w:pPr>
      <w:r>
        <w:t>数据来源：国家统计局，中国有色金属工业协会</w:t>
      </w:r>
    </w:p>
    <w:p w14:paraId="48F17708">
      <w:pPr>
        <w:spacing w:line="389" w:lineRule="auto"/>
        <w:rPr>
          <w:rFonts w:ascii="Arial"/>
          <w:sz w:val="21"/>
        </w:rPr>
      </w:pPr>
    </w:p>
    <w:p w14:paraId="037E84E2">
      <w:pPr>
        <w:spacing w:line="389" w:lineRule="auto"/>
        <w:rPr>
          <w:rFonts w:ascii="Arial"/>
          <w:sz w:val="21"/>
        </w:rPr>
      </w:pPr>
    </w:p>
    <w:p w14:paraId="609B9FAB">
      <w:pPr>
        <w:spacing w:line="389" w:lineRule="auto"/>
        <w:rPr>
          <w:rFonts w:ascii="Arial"/>
          <w:sz w:val="21"/>
        </w:rPr>
      </w:pPr>
    </w:p>
    <w:p w14:paraId="51B61940">
      <w:pPr>
        <w:spacing w:line="389" w:lineRule="auto"/>
        <w:rPr>
          <w:rFonts w:ascii="Arial"/>
          <w:sz w:val="21"/>
        </w:rPr>
      </w:pPr>
    </w:p>
    <w:p w14:paraId="390AC638">
      <w:pPr>
        <w:spacing w:line="389" w:lineRule="auto"/>
        <w:rPr>
          <w:rFonts w:ascii="Arial"/>
          <w:sz w:val="21"/>
        </w:rPr>
      </w:pPr>
    </w:p>
    <w:p w14:paraId="68BF46A0">
      <w:pPr>
        <w:spacing w:line="389" w:lineRule="auto"/>
        <w:rPr>
          <w:rFonts w:ascii="Arial"/>
          <w:sz w:val="21"/>
        </w:rPr>
      </w:pPr>
    </w:p>
    <w:p w14:paraId="5693B877">
      <w:pPr>
        <w:spacing w:line="389" w:lineRule="auto"/>
        <w:rPr>
          <w:rFonts w:ascii="Arial"/>
          <w:sz w:val="21"/>
        </w:rPr>
      </w:pPr>
    </w:p>
    <w:p w14:paraId="2312C0CA">
      <w:pPr>
        <w:spacing w:line="389" w:lineRule="auto"/>
        <w:rPr>
          <w:rFonts w:ascii="Arial"/>
          <w:sz w:val="21"/>
        </w:rPr>
      </w:pPr>
    </w:p>
    <w:p w14:paraId="4BCAE0D5">
      <w:pPr>
        <w:spacing w:line="389" w:lineRule="auto"/>
        <w:rPr>
          <w:rFonts w:ascii="Arial"/>
          <w:sz w:val="21"/>
        </w:rPr>
      </w:pPr>
    </w:p>
    <w:p w14:paraId="6A8D92E8">
      <w:pPr>
        <w:spacing w:line="389" w:lineRule="auto"/>
        <w:rPr>
          <w:rFonts w:ascii="Arial"/>
          <w:sz w:val="21"/>
        </w:rPr>
      </w:pPr>
    </w:p>
    <w:p w14:paraId="24BF2478">
      <w:pPr>
        <w:spacing w:line="389" w:lineRule="auto"/>
        <w:rPr>
          <w:rFonts w:ascii="Arial"/>
          <w:sz w:val="21"/>
        </w:rPr>
      </w:pPr>
    </w:p>
    <w:p w14:paraId="5981F8C4">
      <w:pPr>
        <w:spacing w:line="389" w:lineRule="auto"/>
        <w:rPr>
          <w:rFonts w:ascii="Arial"/>
          <w:sz w:val="21"/>
        </w:rPr>
      </w:pPr>
    </w:p>
    <w:p w14:paraId="5FAB7318">
      <w:pPr>
        <w:spacing w:line="389" w:lineRule="auto"/>
        <w:rPr>
          <w:rFonts w:ascii="Arial"/>
          <w:sz w:val="21"/>
        </w:rPr>
      </w:pPr>
    </w:p>
    <w:p w14:paraId="7C77D0C2">
      <w:pPr>
        <w:spacing w:line="389" w:lineRule="auto"/>
        <w:rPr>
          <w:rFonts w:ascii="Arial"/>
          <w:sz w:val="21"/>
        </w:rPr>
      </w:pPr>
    </w:p>
    <w:p w14:paraId="2F97F99D">
      <w:pPr>
        <w:spacing w:line="389" w:lineRule="auto"/>
        <w:rPr>
          <w:rFonts w:ascii="Arial"/>
          <w:sz w:val="21"/>
        </w:rPr>
      </w:pPr>
    </w:p>
    <w:p w14:paraId="61C2683B">
      <w:pPr>
        <w:spacing w:line="389" w:lineRule="auto"/>
        <w:rPr>
          <w:rFonts w:ascii="Arial"/>
          <w:sz w:val="21"/>
        </w:rPr>
      </w:pPr>
    </w:p>
    <w:p w14:paraId="291E9BC6">
      <w:pPr>
        <w:spacing w:line="389" w:lineRule="auto"/>
        <w:rPr>
          <w:rFonts w:ascii="Arial"/>
          <w:sz w:val="21"/>
        </w:rPr>
      </w:pPr>
    </w:p>
    <w:p w14:paraId="22AF9A74">
      <w:pPr>
        <w:spacing w:line="389" w:lineRule="auto"/>
        <w:rPr>
          <w:rFonts w:ascii="Arial"/>
          <w:sz w:val="21"/>
        </w:rPr>
      </w:pPr>
    </w:p>
    <w:p w14:paraId="5ECD7E6D">
      <w:pPr>
        <w:pStyle w:val="2"/>
        <w:bidi w:val="0"/>
      </w:pPr>
      <w:bookmarkStart w:id="8" w:name="_Toc6075"/>
      <w:r>
        <w:t>二、有色金属工业呈现出较强的韧性和发展活力浅析</w:t>
      </w:r>
      <w:bookmarkEnd w:id="8"/>
    </w:p>
    <w:p w14:paraId="7B972FB6">
      <w:pPr>
        <w:bidi w:val="0"/>
      </w:pPr>
      <w:r>
        <w:t>2024年，有色金属工业在外部压力加大、内部困难增多的复杂形势下，依然保持了较强的韧性和发展活力。其主要原因有：一是有色金属行业、有色金属企业认真贯彻落实党中央、国务院决策部署，积极推动有色金属工业高质量发展，实现质的有效提升和量的合理增长。二是改革开放以来，我国有色金属行业率先由计划经济转入市场经济，并与国际市场接轨，有色金属企业逐步形成了市场经济的经营理念，在国内外市场建立了较为完整的产业链和供应链，企业有效利用期货市场回避价格涨跌风险。三是全球绿色低碳经济的加速转型，以及多年持续技术攻关，我国“新三样”产业实现了高速发展。有色金属作为“新三样”产业最重要的原材料，有效支撑了“新三样”产业高速发展，同时带动了我国铜、镍、钴、锂、硅等产业投资规模的较快增长，拉动了铜、铝、锌、锡、锑、银等有色金属需求增长，有效化解了房地产业下行导致有色金属消费减少的不利因素。四是消费品“以旧换新”政策促使家用电器生产持续增长，是2024年拉动铜、铝等有色金属消费增长的重要因素之一。五是有色金属具有“金融”和“商品”双重属性，2024年全球央行相继开启降息，流动性供给总体平稳且较为宽松，叠加供应端受限，支撑铜、铝等基本金属价格在高位震荡运行。</w:t>
      </w:r>
    </w:p>
    <w:p w14:paraId="648C61F2">
      <w:pPr>
        <w:bidi w:val="0"/>
      </w:pPr>
      <w:r>
        <w:t>2024年有色金属工业保持较强的韧性和发展活力主要体现在以下方面。</w:t>
      </w:r>
    </w:p>
    <w:p w14:paraId="6C92DC59">
      <w:pPr>
        <w:pStyle w:val="3"/>
        <w:widowControl/>
      </w:pPr>
      <w:bookmarkStart w:id="9" w:name="_Toc2321"/>
      <w:r>
        <w:t>(一)单位产品创造的工业增加值提升</w:t>
      </w:r>
      <w:bookmarkEnd w:id="9"/>
    </w:p>
    <w:p w14:paraId="1E2B7C4E">
      <w:pPr>
        <w:bidi w:val="0"/>
      </w:pPr>
      <w:r>
        <w:t>2024年有色金属工业增加值增长8.9%,增幅比2023年扩大1.5个百分点，比全国工业增加值的增幅高3.1个百分点。近5年有色金属工业增加值增幅逐年扩大，2024年增幅比2020年增幅扩大了6.8个百分点。从近5年的统计数据看，从2022年起有色金属工业增加值增幅高于十种有色金属产量增幅，2024年有色金属工业增加值增幅高于十种有色金属产量增幅达4.6个百分点。初步测算，2024年每吨有色金属创造的工业增加值(可比价格)为23077.1元/吨，比上年增加了666.6元/吨，增幅为3.0%,有色金属单位产品创造的工业增加值提升。</w:t>
      </w:r>
    </w:p>
    <w:p w14:paraId="20E86937">
      <w:pPr>
        <w:pStyle w:val="3"/>
        <w:widowControl/>
      </w:pPr>
      <w:bookmarkStart w:id="10" w:name="_Toc30935"/>
      <w:r>
        <w:t>(二)十种有色金属产量7919万吨，占世界的比重达60%</w:t>
      </w:r>
      <w:bookmarkEnd w:id="10"/>
    </w:p>
    <w:p w14:paraId="2B502099">
      <w:pPr>
        <w:bidi w:val="0"/>
      </w:pPr>
      <w:r>
        <w:t>初步统计，2024年十种有色金属产量7919万吨，再创历史新高，占世界同口径的十种有色金属产量的比重高达60%。比2002年我国十种有色金属产量首次超过1000万吨，并超过美国跃居世界第一位时，占世界十种有色金属产量的比重14.8%扩大了40多个百分点；比改革开放之初的1980年占世界十种有色金属产量比重3.0%扩大了50多个百分点。</w:t>
      </w:r>
    </w:p>
    <w:p w14:paraId="3F2E1BD5">
      <w:pPr>
        <w:pStyle w:val="3"/>
        <w:widowControl/>
      </w:pPr>
      <w:bookmarkStart w:id="11" w:name="_Toc28957"/>
      <w:r>
        <w:t>(三)新能源用金属中工业硅、碳酸锂产量大幅度增长</w:t>
      </w:r>
      <w:bookmarkEnd w:id="11"/>
    </w:p>
    <w:p w14:paraId="232964B0">
      <w:pPr>
        <w:bidi w:val="0"/>
      </w:pPr>
      <w:r>
        <w:t>2024年工业硅产量497.5万吨，比上年增长30.4%(见图29);碳酸锂产量71.5万吨，增长38.0%(见图30)。从2021年起，工业硅产量持续大幅度增长，年均增幅达23.4%;碳酸锂产量持续大幅度增长，年均增幅达54.0%。</w:t>
      </w:r>
    </w:p>
    <w:p w14:paraId="73A98298">
      <w:pPr>
        <w:pStyle w:val="3"/>
        <w:widowControl/>
      </w:pPr>
      <w:bookmarkStart w:id="12" w:name="_Toc14516"/>
      <w:r>
        <w:t>(四)“新三样”是拉动有色金属需求增长的主要动力</w:t>
      </w:r>
      <w:bookmarkEnd w:id="12"/>
    </w:p>
    <w:p w14:paraId="3FAE9645">
      <w:pPr>
        <w:pStyle w:val="4"/>
        <w:widowControl/>
      </w:pPr>
      <w:r>
        <w:t>1.“新三样”为有色金属行业发展提供了重要支撑</w:t>
      </w:r>
    </w:p>
    <w:p w14:paraId="732A2494">
      <w:pPr>
        <w:bidi w:val="0"/>
      </w:pPr>
      <w:r>
        <w:t>随着全球绿色低碳经济的加速转型，以及多年来的持续技术攻关，我国“新三样”产业实现了高速发展。有色金属作为“新三样”产业最重要的原材料，有效支撑了“新三样”产业高速发展，带动了我国铜、镍、钴、锂、硅等产业投资规模的较快速度增长，同时也有效拉动了铜、铝、锌、锡、锑、银等有色金属需求增长，化解了房地产业下行导致有色金属消费减少的不利因素，为有色金属行业高质量发展提供了重要支撑。</w:t>
      </w:r>
    </w:p>
    <w:p w14:paraId="726EEE3B">
      <w:pPr>
        <w:pStyle w:val="11"/>
        <w:bidi w:val="0"/>
      </w:pPr>
      <w:r>
        <w:drawing>
          <wp:inline distT="0" distB="0" distL="114300" distR="114300">
            <wp:extent cx="3938270" cy="2113280"/>
            <wp:effectExtent l="0" t="0" r="11430" b="7620"/>
            <wp:docPr id="30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29"/>
                    <pic:cNvPicPr>
                      <a:picLocks noChangeAspect="1"/>
                    </pic:cNvPicPr>
                  </pic:nvPicPr>
                  <pic:blipFill>
                    <a:blip r:embed="rId42"/>
                    <a:stretch>
                      <a:fillRect/>
                    </a:stretch>
                  </pic:blipFill>
                  <pic:spPr>
                    <a:xfrm>
                      <a:off x="0" y="0"/>
                      <a:ext cx="3938270" cy="2113280"/>
                    </a:xfrm>
                    <a:prstGeom prst="rect">
                      <a:avLst/>
                    </a:prstGeom>
                    <a:noFill/>
                    <a:ln>
                      <a:noFill/>
                    </a:ln>
                  </pic:spPr>
                </pic:pic>
              </a:graphicData>
            </a:graphic>
          </wp:inline>
        </w:drawing>
      </w:r>
    </w:p>
    <w:p w14:paraId="14A88CF9">
      <w:pPr>
        <w:pStyle w:val="11"/>
        <w:bidi w:val="0"/>
      </w:pPr>
      <w:r>
        <w:t>图29</w:t>
      </w:r>
      <w:r>
        <w:rPr>
          <w:rFonts w:hint="eastAsia"/>
          <w:lang w:val="en-US" w:eastAsia="zh-CN"/>
        </w:rPr>
        <w:t xml:space="preserve">  </w:t>
      </w:r>
      <w:r>
        <w:t>2020—2024年工业硅产量及比上年增长速度图</w:t>
      </w:r>
    </w:p>
    <w:p w14:paraId="48E19DAA">
      <w:pPr>
        <w:pStyle w:val="11"/>
        <w:bidi w:val="0"/>
      </w:pPr>
      <w:r>
        <w:t>数据来源：国家统计局，中国有色金属工业协会</w:t>
      </w:r>
    </w:p>
    <w:p w14:paraId="5CE12546">
      <w:pPr>
        <w:pStyle w:val="11"/>
        <w:bidi w:val="0"/>
      </w:pPr>
      <w:r>
        <w:drawing>
          <wp:inline distT="0" distB="0" distL="114300" distR="114300">
            <wp:extent cx="3737610" cy="2020570"/>
            <wp:effectExtent l="0" t="0" r="8890" b="11430"/>
            <wp:docPr id="30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
                    <pic:cNvPicPr>
                      <a:picLocks noChangeAspect="1"/>
                    </pic:cNvPicPr>
                  </pic:nvPicPr>
                  <pic:blipFill>
                    <a:blip r:embed="rId43"/>
                    <a:stretch>
                      <a:fillRect/>
                    </a:stretch>
                  </pic:blipFill>
                  <pic:spPr>
                    <a:xfrm>
                      <a:off x="0" y="0"/>
                      <a:ext cx="3737610" cy="2020570"/>
                    </a:xfrm>
                    <a:prstGeom prst="rect">
                      <a:avLst/>
                    </a:prstGeom>
                    <a:noFill/>
                    <a:ln>
                      <a:noFill/>
                    </a:ln>
                  </pic:spPr>
                </pic:pic>
              </a:graphicData>
            </a:graphic>
          </wp:inline>
        </w:drawing>
      </w:r>
    </w:p>
    <w:p w14:paraId="5787C6D7">
      <w:pPr>
        <w:pStyle w:val="11"/>
        <w:bidi w:val="0"/>
      </w:pPr>
      <w:r>
        <w:t>图302020—2024年碳酸锂产量及比上年增长速度图</w:t>
      </w:r>
    </w:p>
    <w:p w14:paraId="39A3F2B8">
      <w:pPr>
        <w:pStyle w:val="11"/>
        <w:bidi w:val="0"/>
      </w:pPr>
      <w:r>
        <w:t>数据来源：中国有色金属工业协会，中国有色金属工业协会锂业分会</w:t>
      </w:r>
    </w:p>
    <w:p w14:paraId="4D187119">
      <w:pPr>
        <w:rPr>
          <w:rFonts w:ascii="Arial"/>
          <w:sz w:val="21"/>
        </w:rPr>
      </w:pPr>
    </w:p>
    <w:p w14:paraId="111D45F3">
      <w:pPr>
        <w:pStyle w:val="4"/>
        <w:widowControl/>
      </w:pPr>
      <w:r>
        <w:t>2.2024年我国“新三样”保持较快增长</w:t>
      </w:r>
    </w:p>
    <w:p w14:paraId="14079D8B">
      <w:pPr>
        <w:bidi w:val="0"/>
      </w:pPr>
      <w:r>
        <w:t>据有关政府部门或机构初步统计，2024年我国光伏新增发电装机容量为277.6吉瓦，比上年增长28.0%,占全部新增发电装机容量的64.7%;风电新增发电装机容量为79.8吉瓦，增长14.2%,占全部新增发电装机容量的18.6%。2024年我国新能源汽车产量1316.8万辆，增长38.7%,占全部汽车产量的比重为41.7%;充电桩安装量达469.7万个，增长58.7%。2024年我国生产太阳能(光伏)电池685.0吉瓦，比上年增长15.7%;生产锂离子电池1170.0吉瓦时，增长24.0%。2024年我国出口太阳能电池77.9亿个，增长38.2%;出口锂离子电池39.1亿个，增长8.1%;风力发电机组出口增长71.9%。</w:t>
      </w:r>
    </w:p>
    <w:p w14:paraId="182BEAD1">
      <w:pPr>
        <w:pStyle w:val="4"/>
        <w:widowControl/>
      </w:pPr>
      <w:r>
        <w:t>3.2024年“新三样”有效拉动铜、铝、锌、锡、锑、银等有色金属消费增长</w:t>
      </w:r>
    </w:p>
    <w:p w14:paraId="4D130C87">
      <w:pPr>
        <w:bidi w:val="0"/>
      </w:pPr>
      <w:r>
        <w:t>2024年光伏、风电、新能源汽车、锂电池等“新三样”的生产、安装、出口增长，成为拉动铜、铝、锌、锡、锑、银等有色金属消费增长的主要动力。</w:t>
      </w:r>
    </w:p>
    <w:p w14:paraId="01C23455">
      <w:pPr>
        <w:bidi w:val="0"/>
      </w:pPr>
      <w:r>
        <w:t>据测算，2024年“新三样”产业消费铜477.9万吨，比上年增长27.1%,占铜消费量的比重为29.3%,拉动铜消费增长约6.7个百分点；消费铝1254.4万吨，增长23.7%,占铝消费量的比重为27.5%,拉动铝消费增长约5.6个百分点；消费锌106.6万吨左右，增长20.7%,占锌消费量的比重约为14.6%,拉动锌消费增长约2.4个百分点；消费锡4.1万吨，增长24.9%,占锡消费量的比重约为13.9%,拉动锡消费增长约3.0个百分点；消费锑约5.5万吨，增长15.7%,占锑消费量的比重约为31.7%;消费银1.1万吨左右，增长15.7%。</w:t>
      </w:r>
    </w:p>
    <w:p w14:paraId="7493DAC9">
      <w:pPr>
        <w:bidi w:val="0"/>
      </w:pPr>
    </w:p>
    <w:p w14:paraId="2001606C">
      <w:pPr>
        <w:pStyle w:val="3"/>
        <w:bidi w:val="0"/>
      </w:pPr>
      <w:bookmarkStart w:id="13" w:name="_Toc31529"/>
      <w:r>
        <w:t>(五)消费品“以旧换新”政策的实施是拉动铜、铝等有色金属消费增长的重要因素之一</w:t>
      </w:r>
      <w:bookmarkEnd w:id="13"/>
    </w:p>
    <w:p w14:paraId="35A00CC4">
      <w:pPr>
        <w:bidi w:val="0"/>
      </w:pPr>
      <w:r>
        <w:t>2024年，消费品“以旧换新”政策取得积极效果，商务部数据显示，截至2024年12月19日，汽车以旧换新带动乘用车销售量超580万辆，其中报废更新超270万辆，置换更新超310万辆；家电以旧换新带动8大类产品销售量超5210万台；家装厨卫“焕新”带动相关产品销售超5300万件；电动自行车以旧换新带动新车销售超100万辆。消费品以旧换新政策的实施促使家用电器持续增长。据国家统计局初步统计，2024年家用电冰箱、冰柜、空调、洗衣机等家用电器产量分别为10359.7万台、2761.5万台、26598.4万台、11736.5万台，比上年分别增长8.3%、13.3%、9.7%、8.8%。据测算，2024年家用电器消费铜比上年增加近20万吨，增长8%左右，拉动铜消费增长约1.3个百分点；2024年家用电器消费铝比上年增加约35万吨，增长9%左右，拉动铝消费增长约0.8个百分点。消费品以旧换新政策的实施是2024年拉动铜、铝等有色金属消费增长的重要因素之一。</w:t>
      </w:r>
    </w:p>
    <w:p w14:paraId="14122910">
      <w:pPr>
        <w:bidi w:val="0"/>
      </w:pPr>
    </w:p>
    <w:p w14:paraId="640B6923">
      <w:pPr>
        <w:pStyle w:val="3"/>
        <w:widowControl/>
      </w:pPr>
      <w:bookmarkStart w:id="14" w:name="_Toc10447"/>
      <w:r>
        <w:t>(六)有色金属工业固定资产投资增幅高达24.7%,民间固定资产投资增幅高达26.8%</w:t>
      </w:r>
      <w:bookmarkEnd w:id="14"/>
    </w:p>
    <w:p w14:paraId="00E4A28D">
      <w:pPr>
        <w:pStyle w:val="4"/>
        <w:widowControl/>
        <w:numPr>
          <w:ilvl w:val="0"/>
          <w:numId w:val="4"/>
        </w:numPr>
        <w:ind w:left="0" w:leftChars="0" w:firstLine="0" w:firstLineChars="0"/>
        <w:rPr>
          <w:b w:val="0"/>
        </w:rPr>
      </w:pPr>
      <w:r>
        <w:t>有色金属工业固定资产投资增幅创近12年的新高</w:t>
      </w:r>
    </w:p>
    <w:p w14:paraId="1801CC63">
      <w:pPr>
        <w:bidi w:val="0"/>
      </w:pPr>
      <w:r>
        <w:t>2024年有色金属工业完成固定资产投资比上年增长24.7%,创近12年的新高。有色金属工业完成固定资产投资增幅自2014年回落到4.4%后，2015年至2017年连续三年下降，降幅分别为3.3%、7.3%、7.4%,2018年、2019年分别增长1.2%和2.1%,2020年下降1.0%,2021年恢复到增长4.1%。2022年增幅为14.5%,2023年增幅达到17.3%,2024年有色金属工业完成固定资产投资增幅高达24.7%,再创近12年历史新高。</w:t>
      </w:r>
    </w:p>
    <w:p w14:paraId="1033779E">
      <w:pPr>
        <w:pStyle w:val="4"/>
        <w:widowControl/>
        <w:numPr>
          <w:ilvl w:val="0"/>
          <w:numId w:val="4"/>
        </w:numPr>
        <w:ind w:left="0" w:leftChars="0" w:firstLine="0" w:firstLineChars="0"/>
        <w:rPr>
          <w:b w:val="0"/>
        </w:rPr>
      </w:pPr>
      <w:r>
        <w:t>民间有色金属固定资产投资增幅更为突出</w:t>
      </w:r>
    </w:p>
    <w:p w14:paraId="1A734355">
      <w:pPr>
        <w:bidi w:val="0"/>
      </w:pPr>
      <w:r>
        <w:t>2024年，民间有色金属固定资产投资比上年增长26.8%,增幅比2023年扩大19.2个百分点，增幅比有色金属工业完成固定资产投资高2.1个百分点。其中，民间有色金属矿山采选完成固定资产投资比上年增长58.9%,增幅比有色金属矿山采选固定资产投资增幅高32.2个百分点。</w:t>
      </w:r>
    </w:p>
    <w:p w14:paraId="49CA5EFD">
      <w:pPr>
        <w:pStyle w:val="4"/>
        <w:widowControl/>
        <w:numPr>
          <w:ilvl w:val="0"/>
          <w:numId w:val="4"/>
        </w:numPr>
        <w:ind w:left="0" w:leftChars="0" w:firstLine="0" w:firstLineChars="0"/>
        <w:rPr>
          <w:b w:val="0"/>
        </w:rPr>
      </w:pPr>
      <w:r>
        <w:t>拉动有色金属投资大幅度增长的主要动因</w:t>
      </w:r>
    </w:p>
    <w:p w14:paraId="79CB20D9">
      <w:pPr>
        <w:bidi w:val="0"/>
      </w:pPr>
      <w:r>
        <w:t>2024年拉动有色金属投资大幅度增长的主要动因：一是与新能源相关的高新金属材料投资，特别是与新能源相关有色金属矿山投资大幅度增加，拉动有色金属投资大幅度增长。二是“两新”等多项政策出台进一步提振有色金属市场，带动有色金属企业设备更新，也有效拉动了有色金属企业固定资产投资增长。三是有色金属投资融资难、融资贵的情况已明显改观。</w:t>
      </w:r>
    </w:p>
    <w:p w14:paraId="38C180E6">
      <w:pPr>
        <w:pStyle w:val="3"/>
        <w:widowControl/>
      </w:pPr>
      <w:bookmarkStart w:id="15" w:name="_Toc16058"/>
      <w:r>
        <w:t>(七)有色金属出口额由降转增、进出口结构有所优化</w:t>
      </w:r>
      <w:bookmarkEnd w:id="15"/>
    </w:p>
    <w:p w14:paraId="5307A17F">
      <w:pPr>
        <w:pStyle w:val="4"/>
        <w:widowControl/>
      </w:pPr>
      <w:r>
        <w:t>1.有色金属进口额保持增长，出口额由降转增</w:t>
      </w:r>
    </w:p>
    <w:p w14:paraId="46170D0E">
      <w:pPr>
        <w:bidi w:val="0"/>
        <w:rPr>
          <w:rFonts w:ascii="Arial"/>
          <w:sz w:val="21"/>
        </w:rPr>
      </w:pPr>
      <w:r>
        <w:t>2024年有色金属进出口贸易额变化主要特点：一是有色金属出口额由降转增。有色金属出口贸易额占比大的金属品种依次是铝、铜和黄金，这三个金属品种占有色金属出口贸易额的比重达70.4%(见图31),这三个金属品种出口额增加拉动有色金属出口贸易额增长26.3个百分点，铝、铜和黄金分别拉动5.8个百分点、6.3个百分点和14.2个百分点。二是有色金属进口额保持增长。有色金属进口贸易额占比较大的金属品种是铜和黄金，这两个金属品种占有色金属进口贸易额的比重达81.0%(见图32);这两个金属品种进口增加额拉动有色金属进口贸易额增长10.4个百分点，铜和黄金分别拉动6.4个百分点和4.0个百分点。三是硅、锂产品出口量保持增长，但出口额大幅度下降，占有色金属出口贸易额的比重也明显回落。</w:t>
      </w:r>
    </w:p>
    <w:p w14:paraId="7E67941B">
      <w:pPr>
        <w:pStyle w:val="11"/>
        <w:bidi w:val="0"/>
      </w:pPr>
      <w:r>
        <w:drawing>
          <wp:inline distT="0" distB="0" distL="114300" distR="114300">
            <wp:extent cx="4779010" cy="2499360"/>
            <wp:effectExtent l="0" t="0" r="8890" b="2540"/>
            <wp:docPr id="30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1"/>
                    <pic:cNvPicPr>
                      <a:picLocks noChangeAspect="1"/>
                    </pic:cNvPicPr>
                  </pic:nvPicPr>
                  <pic:blipFill>
                    <a:blip r:embed="rId44"/>
                    <a:stretch>
                      <a:fillRect/>
                    </a:stretch>
                  </pic:blipFill>
                  <pic:spPr>
                    <a:xfrm>
                      <a:off x="0" y="0"/>
                      <a:ext cx="4779010" cy="2499360"/>
                    </a:xfrm>
                    <a:prstGeom prst="rect">
                      <a:avLst/>
                    </a:prstGeom>
                    <a:noFill/>
                    <a:ln>
                      <a:noFill/>
                    </a:ln>
                  </pic:spPr>
                </pic:pic>
              </a:graphicData>
            </a:graphic>
          </wp:inline>
        </w:drawing>
      </w:r>
    </w:p>
    <w:p w14:paraId="41DDF8DE">
      <w:pPr>
        <w:pStyle w:val="11"/>
        <w:bidi w:val="0"/>
      </w:pPr>
      <w:r>
        <w:t>图31</w:t>
      </w:r>
      <w:r>
        <w:rPr>
          <w:rFonts w:hint="eastAsia"/>
          <w:lang w:val="en-US" w:eastAsia="zh-CN"/>
        </w:rPr>
        <w:t xml:space="preserve">  </w:t>
      </w:r>
      <w:r>
        <w:t>2024年铝、铜、黄金出口额及其所占比重图</w:t>
      </w:r>
    </w:p>
    <w:p w14:paraId="6AA87BAF">
      <w:pPr>
        <w:pStyle w:val="11"/>
        <w:bidi w:val="0"/>
      </w:pPr>
      <w:r>
        <w:t>数据来源：海关总署，中国有色金属工业协会</w:t>
      </w:r>
    </w:p>
    <w:p w14:paraId="7AEF414B">
      <w:pPr>
        <w:pStyle w:val="11"/>
        <w:bidi w:val="0"/>
      </w:pPr>
      <w:r>
        <w:drawing>
          <wp:inline distT="0" distB="0" distL="114300" distR="114300">
            <wp:extent cx="4570095" cy="2760980"/>
            <wp:effectExtent l="0" t="0" r="1905" b="7620"/>
            <wp:docPr id="30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2"/>
                    <pic:cNvPicPr>
                      <a:picLocks noChangeAspect="1"/>
                    </pic:cNvPicPr>
                  </pic:nvPicPr>
                  <pic:blipFill>
                    <a:blip r:embed="rId45"/>
                    <a:stretch>
                      <a:fillRect/>
                    </a:stretch>
                  </pic:blipFill>
                  <pic:spPr>
                    <a:xfrm>
                      <a:off x="0" y="0"/>
                      <a:ext cx="4570095" cy="2760980"/>
                    </a:xfrm>
                    <a:prstGeom prst="rect">
                      <a:avLst/>
                    </a:prstGeom>
                    <a:noFill/>
                    <a:ln>
                      <a:noFill/>
                    </a:ln>
                  </pic:spPr>
                </pic:pic>
              </a:graphicData>
            </a:graphic>
          </wp:inline>
        </w:drawing>
      </w:r>
    </w:p>
    <w:p w14:paraId="4DB87396">
      <w:pPr>
        <w:pStyle w:val="24"/>
        <w:widowControl/>
      </w:pPr>
      <w:r>
        <w:t>图32</w:t>
      </w:r>
      <w:r>
        <w:rPr>
          <w:rFonts w:hint="eastAsia"/>
          <w:lang w:val="en-US" w:eastAsia="zh-CN"/>
        </w:rPr>
        <w:t xml:space="preserve">  </w:t>
      </w:r>
      <w:r>
        <w:t>2024年铜、黄金进口额及其所占比重图</w:t>
      </w:r>
    </w:p>
    <w:p w14:paraId="6036DB01">
      <w:pPr>
        <w:pStyle w:val="11"/>
        <w:widowControl/>
      </w:pPr>
      <w:r>
        <w:t>数据来源：海关总署，中国有色金属工业协会</w:t>
      </w:r>
    </w:p>
    <w:p w14:paraId="12D848C5">
      <w:pPr>
        <w:bidi w:val="0"/>
      </w:pPr>
    </w:p>
    <w:p w14:paraId="55920AFB">
      <w:pPr>
        <w:pStyle w:val="4"/>
        <w:widowControl/>
      </w:pPr>
      <w:r>
        <w:t>2.铜精矿、铝土矿进口稳定增长，铜材、铝材等高附加值产品出口量创历史新高</w:t>
      </w:r>
    </w:p>
    <w:p w14:paraId="793215AE">
      <w:pPr>
        <w:bidi w:val="0"/>
      </w:pPr>
      <w:r>
        <w:t>2024年有色金属进出口贸易量变化主要特点：一是2024年铜材、铝材等高附加值产品出口量创历史新高。二是铜精矿、铝土矿、铅精矿、锑矿、钨矿、钼矿进口量保持增长。三是我国企业投资境外矿山获取的权益矿山原料已成为进口矿山原料的重要构成。</w:t>
      </w:r>
    </w:p>
    <w:p w14:paraId="1F5C654F">
      <w:pPr>
        <w:pStyle w:val="3"/>
        <w:widowControl/>
      </w:pPr>
      <w:bookmarkStart w:id="16" w:name="_Toc26261"/>
      <w:r>
        <w:t>(八)有色金属价格涨跌分化</w:t>
      </w:r>
      <w:bookmarkEnd w:id="16"/>
    </w:p>
    <w:p w14:paraId="47A97A27">
      <w:pPr>
        <w:pStyle w:val="4"/>
        <w:widowControl/>
        <w:numPr>
          <w:ilvl w:val="0"/>
          <w:numId w:val="5"/>
        </w:numPr>
        <w:ind w:left="0" w:leftChars="0" w:firstLine="0" w:firstLineChars="0"/>
        <w:rPr>
          <w:b w:val="0"/>
        </w:rPr>
      </w:pPr>
      <w:r>
        <w:t>铜、铝、铅、锌价格上涨，工业硅、电池级碳酸锂价格下跌</w:t>
      </w:r>
    </w:p>
    <w:p w14:paraId="06928B6A">
      <w:pPr>
        <w:bidi w:val="0"/>
      </w:pPr>
      <w:r>
        <w:t>2024年国内现货市场铜、铝、铅、锌价格分别比上年上涨9.7%、6.5%、10%、7.8%,其中，铜、铅价创近5年新高，铝、锌价为近5年的第二高。2024年国内现货市场工业硅、电池级碳酸锂价格分别比上年下跌15.3%、65.3%。2024年国内现货市场工业硅年均价格13211元/吨，比2021年均价22750元/吨下跌了9539元/吨，跌幅为41.9%,为近4年的最低价。2024年国内现货市场电池级碳酸锂年均价格9.1万元/吨，比2022年均价49.6万元/吨下跌了40.5万元/吨，跌幅为81.7%,为近3年的最低价。</w:t>
      </w:r>
    </w:p>
    <w:p w14:paraId="40613FC1">
      <w:pPr>
        <w:pStyle w:val="4"/>
        <w:widowControl/>
        <w:numPr>
          <w:ilvl w:val="0"/>
          <w:numId w:val="5"/>
        </w:numPr>
        <w:ind w:left="0" w:leftChars="0" w:firstLine="0" w:firstLineChars="0"/>
        <w:rPr>
          <w:b w:val="0"/>
        </w:rPr>
      </w:pPr>
      <w:r>
        <w:t>国内外市场铜价创历史新高</w:t>
      </w:r>
    </w:p>
    <w:p w14:paraId="64F5AADB">
      <w:pPr>
        <w:bidi w:val="0"/>
      </w:pPr>
      <w:r>
        <w:t>2024年5月铜价创历史新高，5月20日Comex铜价上升至5.20美元/磅(11464美元/吨),LME三月期铜合约上升至11104美元/吨，5月国内铜现货月均价高达82598元/吨。2024年末LME和上期所铜、铝、铅、锌、镍、锡等六种基本金属年末收盘价比上年末收盘价以涨为主基调。</w:t>
      </w:r>
    </w:p>
    <w:p w14:paraId="75253F03">
      <w:pPr>
        <w:pStyle w:val="4"/>
        <w:widowControl/>
        <w:numPr>
          <w:ilvl w:val="0"/>
          <w:numId w:val="5"/>
        </w:numPr>
        <w:ind w:left="0" w:leftChars="0" w:firstLine="0" w:firstLineChars="0"/>
        <w:rPr>
          <w:b w:val="0"/>
        </w:rPr>
      </w:pPr>
      <w:r>
        <w:t>黄金价格上涨，成交量增加</w:t>
      </w:r>
    </w:p>
    <w:p w14:paraId="2482A714">
      <w:pPr>
        <w:bidi w:val="0"/>
      </w:pPr>
      <w:r>
        <w:t>2024年末，国际黄金价格收于2609.1美元/盎司，较上年末上涨25.5%;上海黄金交易所Au99.99收于614.8元/克，上涨28.2%。2024年，上海黄金交易所黄金成交量6.2万吨，增长49.9%;成交额34.7万亿元，增长86.6%。</w:t>
      </w:r>
    </w:p>
    <w:p w14:paraId="6304217D">
      <w:pPr>
        <w:pStyle w:val="3"/>
        <w:widowControl/>
      </w:pPr>
      <w:bookmarkStart w:id="17" w:name="_Toc8094"/>
      <w:r>
        <w:t>(九)有色金属工业盈利水平及应对风险能力提升</w:t>
      </w:r>
      <w:bookmarkEnd w:id="17"/>
    </w:p>
    <w:p w14:paraId="21248767">
      <w:pPr>
        <w:bidi w:val="0"/>
      </w:pPr>
      <w:r>
        <w:t>2024年规上有色金属工业企业实现利润初步统计数首次超过4200亿元大关，达到4238.8亿元。2008年面对世界金融危机的严重冲击，在国家宏观调控政策支持和有色金属企业共同努力下，有色金属工业生产基本保持平稳运行，2008年、2009年实现利润总额仍超过1000亿元，2010年实现利润恢复正增长，实现利润总额超过2000亿元大关，2011年实现利润总额创新高，达到2882.5亿元。2020年，面对新冠疫情的严重冲击，上半年尤其是一季度有色金属工业效益大幅度下降。在以习近平同志为核心的党中央坚强领导下，有色金属企业认真贯彻落实党中央和国务院各项决策部署，在加强疫情防控的同时，积极推进复工复产。2020年下半年主要生产经营指标逐步恢复，全年实现利润实现正增长；2021年规上有色金属企业实现利润达到4127.7亿元；2023年我国有色金属工业实现利润总额4268.2亿元，创历史新高。</w:t>
      </w:r>
    </w:p>
    <w:p w14:paraId="21212C71">
      <w:pPr>
        <w:pStyle w:val="3"/>
        <w:widowControl/>
      </w:pPr>
      <w:bookmarkStart w:id="18" w:name="_Toc23141"/>
      <w:r>
        <w:t>(十)“三率”稳中向好，但矿山、冶炼、加工存在差异</w:t>
      </w:r>
      <w:bookmarkEnd w:id="18"/>
    </w:p>
    <w:p w14:paraId="4388BBEC">
      <w:pPr>
        <w:pStyle w:val="4"/>
        <w:widowControl/>
      </w:pPr>
      <w:r>
        <w:t>1.营业收入利润率与上年大体持平</w:t>
      </w:r>
    </w:p>
    <w:p w14:paraId="45E9A06D">
      <w:pPr>
        <w:bidi w:val="0"/>
      </w:pPr>
      <w:r>
        <w:t>初步统计，2024年规上有色金属工业企业营业收入利润率为4.7%,按可比口径与上年大体持平(见图33)。其中，矿山企业营业收入利润率为24.4%,比上年上升1.7个百分点；冶炼企业营业收入利润率为5.8%,上升0.4个百分点；加工企业营业收入利润率为2.2%,回落0.5个百分点。</w:t>
      </w:r>
    </w:p>
    <w:p w14:paraId="399027C3">
      <w:pPr>
        <w:pStyle w:val="11"/>
        <w:bidi w:val="0"/>
      </w:pPr>
      <w:r>
        <w:drawing>
          <wp:inline distT="0" distB="0" distL="114300" distR="114300">
            <wp:extent cx="4481830" cy="2428240"/>
            <wp:effectExtent l="0" t="0" r="1270" b="10160"/>
            <wp:docPr id="31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3"/>
                    <pic:cNvPicPr>
                      <a:picLocks noChangeAspect="1"/>
                    </pic:cNvPicPr>
                  </pic:nvPicPr>
                  <pic:blipFill>
                    <a:blip r:embed="rId46"/>
                    <a:stretch>
                      <a:fillRect/>
                    </a:stretch>
                  </pic:blipFill>
                  <pic:spPr>
                    <a:xfrm>
                      <a:off x="0" y="0"/>
                      <a:ext cx="4481830" cy="2428240"/>
                    </a:xfrm>
                    <a:prstGeom prst="rect">
                      <a:avLst/>
                    </a:prstGeom>
                    <a:noFill/>
                    <a:ln>
                      <a:noFill/>
                    </a:ln>
                  </pic:spPr>
                </pic:pic>
              </a:graphicData>
            </a:graphic>
          </wp:inline>
        </w:drawing>
      </w:r>
    </w:p>
    <w:p w14:paraId="591D3770">
      <w:pPr>
        <w:pStyle w:val="11"/>
        <w:bidi w:val="0"/>
      </w:pPr>
      <w:r>
        <w:t>图33</w:t>
      </w:r>
      <w:r>
        <w:rPr>
          <w:rFonts w:hint="eastAsia"/>
          <w:lang w:val="en-US" w:eastAsia="zh-CN"/>
        </w:rPr>
        <w:t xml:space="preserve">  </w:t>
      </w:r>
      <w:r>
        <w:t>2020—2024年营业收入利润率及比上年增减百分点图</w:t>
      </w:r>
    </w:p>
    <w:p w14:paraId="68AE8F21">
      <w:pPr>
        <w:pStyle w:val="11"/>
        <w:bidi w:val="0"/>
      </w:pPr>
      <w:r>
        <w:t>数据来源：国家统计局，中国有色金属工业协会</w:t>
      </w:r>
    </w:p>
    <w:p w14:paraId="0B4A3C1B">
      <w:pPr>
        <w:pStyle w:val="4"/>
        <w:widowControl/>
      </w:pPr>
      <w:r>
        <w:t>2.资产利润率比上年上升</w:t>
      </w:r>
    </w:p>
    <w:p w14:paraId="7DAF2719">
      <w:pPr>
        <w:bidi w:val="0"/>
      </w:pPr>
      <w:r>
        <w:t>初步统计，2024年规上有色金属工业企业资产利润率为7.1%,按可比口径比上年上升0.6个百分点(见图34)。其中，矿山企业为11.6%,比上年上升0.9个百分点；冶炼企业为8.2%,上升1.4个百分点；加工企业为4.3%,回落0.5个百分点。</w:t>
      </w:r>
    </w:p>
    <w:p w14:paraId="40EF146B">
      <w:pPr>
        <w:pStyle w:val="11"/>
        <w:bidi w:val="0"/>
      </w:pPr>
      <w:r>
        <w:drawing>
          <wp:inline distT="0" distB="0" distL="114300" distR="114300">
            <wp:extent cx="4138295" cy="2291715"/>
            <wp:effectExtent l="0" t="0" r="1905" b="6985"/>
            <wp:docPr id="31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4"/>
                    <pic:cNvPicPr>
                      <a:picLocks noChangeAspect="1"/>
                    </pic:cNvPicPr>
                  </pic:nvPicPr>
                  <pic:blipFill>
                    <a:blip r:embed="rId47"/>
                    <a:stretch>
                      <a:fillRect/>
                    </a:stretch>
                  </pic:blipFill>
                  <pic:spPr>
                    <a:xfrm>
                      <a:off x="0" y="0"/>
                      <a:ext cx="4138295" cy="2291715"/>
                    </a:xfrm>
                    <a:prstGeom prst="rect">
                      <a:avLst/>
                    </a:prstGeom>
                    <a:noFill/>
                    <a:ln>
                      <a:noFill/>
                    </a:ln>
                  </pic:spPr>
                </pic:pic>
              </a:graphicData>
            </a:graphic>
          </wp:inline>
        </w:drawing>
      </w:r>
    </w:p>
    <w:p w14:paraId="4EC0F320">
      <w:pPr>
        <w:pStyle w:val="11"/>
        <w:bidi w:val="0"/>
      </w:pPr>
      <w:r>
        <w:t>图34</w:t>
      </w:r>
      <w:r>
        <w:rPr>
          <w:rFonts w:hint="eastAsia"/>
          <w:lang w:val="en-US" w:eastAsia="zh-CN"/>
        </w:rPr>
        <w:t xml:space="preserve">  </w:t>
      </w:r>
      <w:r>
        <w:t>2020—2024年资产利润率及比上年增减百分点图</w:t>
      </w:r>
    </w:p>
    <w:p w14:paraId="432A5B68">
      <w:pPr>
        <w:pStyle w:val="11"/>
        <w:bidi w:val="0"/>
      </w:pPr>
      <w:r>
        <w:t>数据来源：国家统计局，中国有色金属工业协会</w:t>
      </w:r>
    </w:p>
    <w:p w14:paraId="50AEEB4C">
      <w:pPr>
        <w:spacing w:line="245" w:lineRule="auto"/>
        <w:rPr>
          <w:rFonts w:ascii="Arial"/>
          <w:sz w:val="21"/>
        </w:rPr>
      </w:pPr>
    </w:p>
    <w:p w14:paraId="2A96EA00">
      <w:pPr>
        <w:pStyle w:val="4"/>
        <w:widowControl/>
      </w:pPr>
      <w:r>
        <w:t>3.资产负债率达历史最好水平</w:t>
      </w:r>
    </w:p>
    <w:p w14:paraId="19B2C6B6">
      <w:pPr>
        <w:bidi w:val="0"/>
      </w:pPr>
      <w:r>
        <w:t>初步统计，2024年规上有色金属工业企业资产负债率为58.5%,按可比口径比上年降低1.2个百分点(见图35)。其中，矿山企业资产负债率为57.8%,降低1.3个百分点；冶炼企业资产负债率为54.9%,降低1.9个百分点；</w:t>
      </w:r>
    </w:p>
    <w:p w14:paraId="275D6255">
      <w:pPr>
        <w:pStyle w:val="11"/>
        <w:bidi w:val="0"/>
      </w:pPr>
      <w:r>
        <w:drawing>
          <wp:inline distT="0" distB="0" distL="114300" distR="114300">
            <wp:extent cx="4590415" cy="2413635"/>
            <wp:effectExtent l="0" t="0" r="6985" b="12065"/>
            <wp:docPr id="31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5"/>
                    <pic:cNvPicPr>
                      <a:picLocks noChangeAspect="1"/>
                    </pic:cNvPicPr>
                  </pic:nvPicPr>
                  <pic:blipFill>
                    <a:blip r:embed="rId48"/>
                    <a:stretch>
                      <a:fillRect/>
                    </a:stretch>
                  </pic:blipFill>
                  <pic:spPr>
                    <a:xfrm>
                      <a:off x="0" y="0"/>
                      <a:ext cx="4590415" cy="2413635"/>
                    </a:xfrm>
                    <a:prstGeom prst="rect">
                      <a:avLst/>
                    </a:prstGeom>
                    <a:noFill/>
                    <a:ln>
                      <a:noFill/>
                    </a:ln>
                  </pic:spPr>
                </pic:pic>
              </a:graphicData>
            </a:graphic>
          </wp:inline>
        </w:drawing>
      </w:r>
      <w:r>
        <mc:AlternateContent>
          <mc:Choice Requires="wps">
            <w:drawing>
              <wp:anchor distT="0" distB="0" distL="114300" distR="114300" simplePos="0" relativeHeight="251669504" behindDoc="0" locked="0" layoutInCell="1" allowOverlap="1">
                <wp:simplePos x="0" y="0"/>
                <wp:positionH relativeFrom="column">
                  <wp:posOffset>44450</wp:posOffset>
                </wp:positionH>
                <wp:positionV relativeFrom="paragraph">
                  <wp:posOffset>147320</wp:posOffset>
                </wp:positionV>
                <wp:extent cx="166370" cy="10033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66370" cy="100330"/>
                        </a:xfrm>
                        <a:prstGeom prst="rect">
                          <a:avLst/>
                        </a:prstGeom>
                        <a:noFill/>
                        <a:ln>
                          <a:noFill/>
                        </a:ln>
                      </wps:spPr>
                      <wps:txbx>
                        <w:txbxContent>
                          <w:p w14:paraId="7DA254BD">
                            <w:pPr>
                              <w:spacing w:before="20" w:line="188"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2"/>
                                <w:sz w:val="13"/>
                                <w:szCs w:val="13"/>
                              </w:rPr>
                              <w:t>58.5</w:t>
                            </w:r>
                          </w:p>
                        </w:txbxContent>
                      </wps:txbx>
                      <wps:bodyPr lIns="0" tIns="0" rIns="0" bIns="0" upright="1"/>
                    </wps:wsp>
                  </a:graphicData>
                </a:graphic>
              </wp:anchor>
            </w:drawing>
          </mc:Choice>
          <mc:Fallback>
            <w:pict>
              <v:shape id="_x0000_s1026" o:spid="_x0000_s1026" o:spt="202" type="#_x0000_t202" style="position:absolute;left:0pt;margin-left:3.5pt;margin-top:11.6pt;height:7.9pt;width:13.1pt;z-index:251669504;mso-width-relative:page;mso-height-relative:page;" filled="f" stroked="f" coordsize="21600,21600" o:gfxdata="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elmYdUAAAAGAQAADwAAAAAAAAABACAAAAAiAAAAZHJzL2Rvd25yZXYueG1sUEsBAhQA&#10;FAAAAAgAh07iQMFGBG+8AQAAdQMAAA4AAAAAAAAAAQAgAAAAJAEAAGRycy9lMm9Eb2MueG1sUEsF&#10;BgAAAAAGAAYAWQEAAFIFAAAAAA==&#10;">
                <v:fill on="f" focussize="0,0"/>
                <v:stroke on="f"/>
                <v:imagedata o:title=""/>
                <o:lock v:ext="edit" aspectratio="f"/>
                <v:textbox inset="0mm,0mm,0mm,0mm">
                  <w:txbxContent>
                    <w:p w14:paraId="7DA254BD">
                      <w:pPr>
                        <w:spacing w:before="20" w:line="188"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2"/>
                          <w:sz w:val="13"/>
                          <w:szCs w:val="13"/>
                        </w:rPr>
                        <w:t>58.5</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44450</wp:posOffset>
                </wp:positionH>
                <wp:positionV relativeFrom="paragraph">
                  <wp:posOffset>38735</wp:posOffset>
                </wp:positionV>
                <wp:extent cx="187960" cy="132715"/>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87960" cy="132715"/>
                        </a:xfrm>
                        <a:prstGeom prst="rect">
                          <a:avLst/>
                        </a:prstGeom>
                        <a:noFill/>
                        <a:ln>
                          <a:noFill/>
                        </a:ln>
                      </wps:spPr>
                      <wps:txbx>
                        <w:txbxContent>
                          <w:p w14:paraId="1FCA69B0">
                            <w:pPr>
                              <w:spacing w:before="19" w:line="239" w:lineRule="auto"/>
                              <w:ind w:left="20"/>
                              <w:rPr>
                                <w:rFonts w:ascii="宋体" w:hAnsi="宋体" w:eastAsia="宋体" w:cs="宋体"/>
                                <w:sz w:val="13"/>
                                <w:szCs w:val="13"/>
                              </w:rPr>
                            </w:pPr>
                            <w:r>
                              <w:rPr>
                                <w:rFonts w:ascii="宋体" w:hAnsi="宋体" w:eastAsia="宋体" w:cs="宋体"/>
                                <w:spacing w:val="-1"/>
                                <w:sz w:val="13"/>
                                <w:szCs w:val="13"/>
                              </w:rPr>
                              <w:t>-1.2</w:t>
                            </w:r>
                          </w:p>
                        </w:txbxContent>
                      </wps:txbx>
                      <wps:bodyPr lIns="0" tIns="0" rIns="0" bIns="0" upright="1"/>
                    </wps:wsp>
                  </a:graphicData>
                </a:graphic>
              </wp:anchor>
            </w:drawing>
          </mc:Choice>
          <mc:Fallback>
            <w:pict>
              <v:shape id="_x0000_s1026" o:spid="_x0000_s1026" o:spt="202" type="#_x0000_t202" style="position:absolute;left:0pt;margin-left:3.5pt;margin-top:3.05pt;height:10.45pt;width:14.8pt;z-index:251668480;mso-width-relative:page;mso-height-relative:page;" filled="f" stroked="f" coordsize="21600,21600" o:gfxdata="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3RDY1AAAAAUBAAAPAAAAAAAAAAEAIAAAACIAAABkcnMvZG93bnJldi54bWxQSwECFAAU&#10;AAAACACHTuJAjQ32kLwBAAB1AwAADgAAAAAAAAABACAAAAAjAQAAZHJzL2Uyb0RvYy54bWxQSwUG&#10;AAAAAAYABgBZAQAAUQUAAAAA&#10;">
                <v:fill on="f" focussize="0,0"/>
                <v:stroke on="f"/>
                <v:imagedata o:title=""/>
                <o:lock v:ext="edit" aspectratio="f"/>
                <v:textbox inset="0mm,0mm,0mm,0mm">
                  <w:txbxContent>
                    <w:p w14:paraId="1FCA69B0">
                      <w:pPr>
                        <w:spacing w:before="19" w:line="239" w:lineRule="auto"/>
                        <w:ind w:left="20"/>
                        <w:rPr>
                          <w:rFonts w:ascii="宋体" w:hAnsi="宋体" w:eastAsia="宋体" w:cs="宋体"/>
                          <w:sz w:val="13"/>
                          <w:szCs w:val="13"/>
                        </w:rPr>
                      </w:pPr>
                      <w:r>
                        <w:rPr>
                          <w:rFonts w:ascii="宋体" w:hAnsi="宋体" w:eastAsia="宋体" w:cs="宋体"/>
                          <w:spacing w:val="-1"/>
                          <w:sz w:val="13"/>
                          <w:szCs w:val="13"/>
                        </w:rPr>
                        <w:t>-1.2</w:t>
                      </w:r>
                    </w:p>
                  </w:txbxContent>
                </v:textbox>
              </v:shape>
            </w:pict>
          </mc:Fallback>
        </mc:AlternateContent>
      </w:r>
    </w:p>
    <w:p w14:paraId="4C6F047E">
      <w:pPr>
        <w:pStyle w:val="11"/>
        <w:bidi w:val="0"/>
      </w:pPr>
      <w:r>
        <w:t>图35</w:t>
      </w:r>
      <w:r>
        <w:rPr>
          <w:rFonts w:hint="eastAsia"/>
          <w:lang w:val="en-US" w:eastAsia="zh-CN"/>
        </w:rPr>
        <w:t xml:space="preserve">  </w:t>
      </w:r>
      <w:r>
        <w:t>2020—2024年资产负债率及比上年增减百分点图</w:t>
      </w:r>
    </w:p>
    <w:p w14:paraId="09423E50">
      <w:pPr>
        <w:pStyle w:val="11"/>
        <w:bidi w:val="0"/>
      </w:pPr>
      <w:r>
        <w:t>数据来源：国家统计局，中国有色金属工业协会</w:t>
      </w:r>
    </w:p>
    <w:p w14:paraId="6A57B763">
      <w:pPr>
        <w:bidi w:val="0"/>
      </w:pPr>
      <w:r>
        <w:t>加工企业资产负债率为63.0%,降低0.2个百分点。按正式年报数计算的资产负债率，2020年为60.0%,2021年为59.7%,2022年为60.8%,2023年降为59.3%,2024年(初步统计)降为58.5%,是近5年最好水平。</w:t>
      </w:r>
    </w:p>
    <w:p w14:paraId="78606B1F">
      <w:pPr>
        <w:pStyle w:val="3"/>
        <w:widowControl/>
      </w:pPr>
      <w:bookmarkStart w:id="19" w:name="_Toc20827"/>
      <w:r>
        <w:t>(十一)国际化布局取得显著突破</w:t>
      </w:r>
      <w:bookmarkEnd w:id="19"/>
    </w:p>
    <w:p w14:paraId="1D319D39">
      <w:pPr>
        <w:bidi w:val="0"/>
      </w:pPr>
      <w:r>
        <w:t>2024年，300多家企业在境外投资有色金属矿业取得积极进展。境外铜矿权益资源量超过1亿吨，权益矿山铜金属量超260万吨；铝土矿权益资源量约80亿吨，2024年中资企业在几内亚铝土矿的出货量超过9000万吨，增长15%;钴矿权益储量800万吨，权益矿山钴金属量12万吨；锂的权益资源量(碳酸锂当量)7000万吨，权益矿山碳酸锂当量23.7万吨。我国有色金属企业在海外实体矿山投资、股权收购、市场开拓等多维度努力成果逐步显现，国际话语权稳步提升。中国五矿、中国铝业、中色集团、中铁资源、北方矿业、铜陵集团、山东魏桥、紫金矿业、洛钼集团、华友钴业等企业海外矿山投资的成功，在增强我国矿产资源保障能力的同时，也为我国有色金属工业高质量发展奠定了坚实基础。</w:t>
      </w:r>
    </w:p>
    <w:p w14:paraId="25000B5C">
      <w:pPr>
        <w:pStyle w:val="3"/>
        <w:widowControl/>
      </w:pPr>
      <w:bookmarkStart w:id="20" w:name="_Toc11208"/>
      <w:r>
        <w:t>(十二)绿色转型加快推进</w:t>
      </w:r>
      <w:bookmarkEnd w:id="20"/>
    </w:p>
    <w:p w14:paraId="3AAE1FC2">
      <w:pPr>
        <w:pStyle w:val="4"/>
        <w:widowControl/>
      </w:pPr>
      <w:r>
        <w:t>1.深入践行绿色发展理念，阶段性成果不断显现</w:t>
      </w:r>
    </w:p>
    <w:p w14:paraId="39CC4DEE">
      <w:pPr>
        <w:bidi w:val="0"/>
      </w:pPr>
      <w:r>
        <w:t>我国有色金属工业在节能减排、资源综合利用等方面持续发力，行业深入践行绿色发展理念，阶段性成果不断显现。截至2024年，约1300万吨电解铝产能转移到了绿色能源丰富的西部地区，我国绿电铝占比已超过25%;赤泥综合利用率达到10%,是全球最高水平。</w:t>
      </w:r>
    </w:p>
    <w:p w14:paraId="30236658">
      <w:pPr>
        <w:pStyle w:val="4"/>
        <w:widowControl/>
      </w:pPr>
      <w:r>
        <w:t>2.再生金属增幅大于十种有色金属增幅</w:t>
      </w:r>
    </w:p>
    <w:p w14:paraId="2808B156">
      <w:pPr>
        <w:bidi w:val="0"/>
      </w:pPr>
      <w:r>
        <w:t>初步统计，2024年铜、铝、铅、锌四种再生金属供应量为1925万吨，比上年增长9.7%,增幅比十种有色金属产量增幅高5.4个百分点。其中，再生铜增幅8.5%,比精炼铜增幅高4.4个百分点；再生铝增幅11.1%,比原铝增幅高6.5个百分点。</w:t>
      </w:r>
    </w:p>
    <w:p w14:paraId="750C6619">
      <w:pPr>
        <w:pStyle w:val="4"/>
        <w:widowControl/>
      </w:pPr>
      <w:r>
        <w:t>3.铜、铝单位产品能耗持续下降</w:t>
      </w:r>
    </w:p>
    <w:p w14:paraId="65AD0B88">
      <w:pPr>
        <w:bidi w:val="0"/>
      </w:pPr>
      <w:r>
        <w:t>初步统计，2024年铜冶炼综合能耗(以标准煤计)为196.4千克/吨，比上年减少4.1千克/吨，下降2.0%;原铝(电解铝)综合交流电耗为13262千瓦时/吨，减少62千瓦时/吨，下降0.5%。</w:t>
      </w:r>
    </w:p>
    <w:p w14:paraId="2A784BE5">
      <w:pPr>
        <w:bidi w:val="0"/>
      </w:pPr>
    </w:p>
    <w:p w14:paraId="155C9113">
      <w:pPr>
        <w:bidi w:val="0"/>
      </w:pPr>
    </w:p>
    <w:p w14:paraId="4C3B625A">
      <w:pPr>
        <w:bidi w:val="0"/>
      </w:pPr>
    </w:p>
    <w:p w14:paraId="3B2528AE">
      <w:pPr>
        <w:bidi w:val="0"/>
      </w:pPr>
    </w:p>
    <w:p w14:paraId="08E55E78">
      <w:pPr>
        <w:bidi w:val="0"/>
      </w:pPr>
    </w:p>
    <w:p w14:paraId="31D19FBC">
      <w:pPr>
        <w:bidi w:val="0"/>
      </w:pPr>
    </w:p>
    <w:p w14:paraId="02D0C12F">
      <w:pPr>
        <w:bidi w:val="0"/>
      </w:pPr>
    </w:p>
    <w:p w14:paraId="55D271B4">
      <w:pPr>
        <w:bidi w:val="0"/>
      </w:pPr>
    </w:p>
    <w:p w14:paraId="684D3C74">
      <w:pPr>
        <w:bidi w:val="0"/>
      </w:pPr>
    </w:p>
    <w:p w14:paraId="7D90172B">
      <w:pPr>
        <w:bidi w:val="0"/>
      </w:pPr>
    </w:p>
    <w:p w14:paraId="3A0CE9DB">
      <w:pPr>
        <w:bidi w:val="0"/>
      </w:pPr>
    </w:p>
    <w:p w14:paraId="0CC51D0B">
      <w:pPr>
        <w:bidi w:val="0"/>
      </w:pPr>
    </w:p>
    <w:p w14:paraId="3B121F28">
      <w:pPr>
        <w:bidi w:val="0"/>
      </w:pPr>
    </w:p>
    <w:p w14:paraId="13FC2C5B">
      <w:pPr>
        <w:bidi w:val="0"/>
      </w:pPr>
    </w:p>
    <w:p w14:paraId="74DAC5A9">
      <w:pPr>
        <w:bidi w:val="0"/>
      </w:pPr>
    </w:p>
    <w:p w14:paraId="551D2451">
      <w:pPr>
        <w:bidi w:val="0"/>
      </w:pPr>
    </w:p>
    <w:p w14:paraId="7B7CDB69">
      <w:pPr>
        <w:bidi w:val="0"/>
      </w:pPr>
    </w:p>
    <w:p w14:paraId="09EDB2C3">
      <w:pPr>
        <w:pStyle w:val="2"/>
        <w:bidi w:val="0"/>
      </w:pPr>
      <w:bookmarkStart w:id="21" w:name="_Toc32520"/>
      <w:r>
        <w:t>三、对2025年有色金属产业运行环境预判</w:t>
      </w:r>
      <w:bookmarkEnd w:id="21"/>
    </w:p>
    <w:p w14:paraId="083BA67A">
      <w:pPr>
        <w:bidi w:val="0"/>
      </w:pPr>
      <w:r>
        <w:t>从全球经济来看，2025年，全球经济运行的不确定性因素增多，经济下行风险加大；全球通胀回落速度趋缓，部分经济体可能面临反弹风险。美国总统特朗普的贸易保护政策将成为全球贸易增长的最大风险，美联储降息步伐不确定性增加，美元指数保持相对强势。2025年，地缘政治局势仍有较大不确定性，多国面临财政与债务风险，全球贸易和投资增长存在制约。国际组织普遍预计2025年全球经济增长与2024年水平相近。</w:t>
      </w:r>
    </w:p>
    <w:p w14:paraId="5DC7C845">
      <w:pPr>
        <w:bidi w:val="0"/>
      </w:pPr>
      <w:r>
        <w:t>从中国经济来看，2025年是我国“十四五”规划收官之年，是二十届三中全会所确定的一系列改革举措的落实之年。中央经济工作会议明确指出，实施更加积极的财政政策和适度宽松的货币政策。在宏观政策加力显效的背景下，2025年中国经济将呈现以下特征：一是消费在“两新”(消费品以旧换新、大规模设备更新)、“两重”(国家重大战略实施和重点领域安全能力建设)等政策支持下有望实现渐进式恢复；二是制造业和基建投资对经济增长的贡献提升；三是出口对经济增长的支撑作用面临压力；四是经济发展中新动能抵补作用不断增强；五是供需矛盾逐步缓解，推动物价有所回稳。</w:t>
      </w:r>
    </w:p>
    <w:p w14:paraId="20CDCC99">
      <w:pPr>
        <w:bidi w:val="0"/>
      </w:pPr>
      <w:r>
        <w:t>从有色金属行业运行环境看，2025年，在“双碳”目标的支撑下，光伏、新能源汽车、储能电池等“新三样”对有色金属需求仍是有色金属消费的重要组成；国家出台的一系列拉动消费政策措施，如大规模设备更新和消费品以旧换新等，拉动有色金属消费的作用进一步显现。特朗普政府对进口铝产品加征25%的关税，打压我国铝材等有色金属产品出口，短期内有色金属产品出口的压力加大。2025年全球铜、铝等常用金属市场维持紧平衡态势，叠加成本支撑铜、铝价格有望维持震荡态势；工业硅、碳酸锂等新能源金属价格也有望呈现出筑底回稳的态势。美联储降息、地缘风险、央行购金仍是支撑黄金价格维持高位调整的主要因素。</w:t>
      </w:r>
    </w:p>
    <w:p w14:paraId="7B553297">
      <w:pPr>
        <w:bidi w:val="0"/>
      </w:pPr>
      <w:r>
        <w:t>2025年是“十四五”规划收官之年，是进一步全面深化改革的重要一年，有色金属行业将完整准确全面贯彻新发展理念，牢牢把握高质量发展这个首要任务，坚持以习近平新时代中国特色社会主义思想为指导，全面贯彻党的二十大和二十届二中、三中全会精神，贯彻落实好中央经济工作会议部署要求，积极适应新时代发展要求，高质量完成有色金属工业“十四五”规划目标任务，为实现有色金属工业“十五五”良好开局打牢基础。</w:t>
      </w:r>
      <w:bookmarkStart w:id="22" w:name="bookmark36"/>
      <w:bookmarkEnd w:id="22"/>
    </w:p>
    <w:sectPr>
      <w:headerReference r:id="rId8" w:type="default"/>
      <w:footerReference r:id="rId9" w:type="default"/>
      <w:pgSz w:w="11906" w:h="16838"/>
      <w:pgMar w:top="1440" w:right="1080" w:bottom="1440" w:left="1080" w:header="0" w:footer="428" w:gutter="0"/>
      <w:pgNumType w:fmt="decimal"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87F48">
    <w:pPr>
      <w:spacing w:line="175" w:lineRule="auto"/>
      <w:ind w:left="3389"/>
      <w:rPr>
        <w:rFonts w:ascii="Times New Roman" w:hAnsi="Times New Roman" w:eastAsia="Times New Roman" w:cs="Times New Roman"/>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835F4">
    <w:pPr>
      <w:pStyle w:val="13"/>
    </w:pPr>
    <w:r>
      <mc:AlternateContent>
        <mc:Choice Requires="wps">
          <w:drawing>
            <wp:anchor distT="0" distB="0" distL="114300" distR="114300" simplePos="0" relativeHeight="251660288" behindDoc="0" locked="0" layoutInCell="1" allowOverlap="1">
              <wp:simplePos x="0" y="0"/>
              <wp:positionH relativeFrom="margin">
                <wp:align>right</wp:align>
              </wp:positionH>
              <mc:AlternateContent>
                <mc:Choice Requires="wp14">
                  <wp:positionV relativeFrom="bottomMargin">
                    <wp14:pctPosVOffset>10000</wp14:pctPosVOffset>
                  </wp:positionV>
                </mc:Choice>
                <mc:Fallback>
                  <wp:positionV relativeFrom="page">
                    <wp:posOffset>9869170</wp:posOffset>
                  </wp:positionV>
                </mc:Fallback>
              </mc:AlternateContent>
              <wp:extent cx="64135" cy="14605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64135" cy="146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3F37F">
                          <w:pPr>
                            <w:pStyle w:val="13"/>
                            <w:rPr>
                              <w:b/>
                              <w:bCs/>
                            </w:rPr>
                          </w:pPr>
                          <w:r>
                            <w:rPr>
                              <w:b/>
                              <w:bCs/>
                            </w:rPr>
                            <w:fldChar w:fldCharType="begin"/>
                          </w:r>
                          <w:r>
                            <w:rPr>
                              <w:b/>
                              <w:bCs/>
                            </w:rPr>
                            <w:instrText xml:space="preserve"> PAGE  \* MERGEFORMAT </w:instrText>
                          </w:r>
                          <w:r>
                            <w:rPr>
                              <w:b/>
                              <w:bCs/>
                            </w:rPr>
                            <w:fldChar w:fldCharType="separate"/>
                          </w:r>
                          <w:r>
                            <w:rPr>
                              <w:b/>
                              <w:bCs/>
                            </w:rPr>
                            <w:t>1</w:t>
                          </w:r>
                          <w:r>
                            <w:rPr>
                              <w:b/>
                              <w:bCs/>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520.3pt;margin-top:777.1pt;height:11.5pt;width:5.05pt;mso-position-horizontal-relative:page;mso-position-vertical-relative:page;mso-wrap-style:none;z-index:251660288;mso-width-relative:page;mso-height-relative:page;" filled="f" stroked="f" coordsize="21600,21600" o:gfxdata="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PJZndEAAAADAQAADwAAAAAAAAABACAAAAAiAAAAZHJzL2Rvd25yZXYueG1sUEsBAhQAFAAA&#10;AAgAh07iQPaDCywvAgAAVgQAAA4AAAAAAAAAAQAgAAAAIAEAAGRycy9lMm9Eb2MueG1sUEsFBgAA&#10;AAAGAAYAWQEAAMEFAAAAAA==&#10;">
              <v:fill on="f" focussize="0,0"/>
              <v:stroke on="f" weight="0.5pt"/>
              <v:imagedata o:title=""/>
              <o:lock v:ext="edit" aspectratio="f"/>
              <v:textbox inset="0mm,0mm,0mm,0mm" style="mso-fit-shape-to-text:t;">
                <w:txbxContent>
                  <w:p w14:paraId="49E3F37F">
                    <w:pPr>
                      <w:pStyle w:val="13"/>
                      <w:rPr>
                        <w:b/>
                        <w:bCs/>
                      </w:rPr>
                    </w:pPr>
                    <w:r>
                      <w:rPr>
                        <w:b/>
                        <w:bCs/>
                      </w:rPr>
                      <w:fldChar w:fldCharType="begin"/>
                    </w:r>
                    <w:r>
                      <w:rPr>
                        <w:b/>
                        <w:bCs/>
                      </w:rPr>
                      <w:instrText xml:space="preserve"> PAGE  \* MERGEFORMAT </w:instrText>
                    </w:r>
                    <w:r>
                      <w:rPr>
                        <w:b/>
                        <w:bCs/>
                      </w:rPr>
                      <w:fldChar w:fldCharType="separate"/>
                    </w:r>
                    <w:r>
                      <w:rPr>
                        <w:b/>
                        <w:bCs/>
                      </w:rPr>
                      <w:t>1</w:t>
                    </w:r>
                    <w:r>
                      <w:rPr>
                        <w:b/>
                        <w:bCs/>
                      </w:rPr>
                      <w:fldChar w:fldCharType="end"/>
                    </w:r>
                  </w:p>
                </w:txbxContent>
              </v:textbox>
            </v:shape>
          </w:pict>
        </mc:Fallback>
      </mc:AlternateContent>
    </w:r>
    <w:r>
      <mc:AlternateContent>
        <mc:Choice Requires="wpg">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bottomMargin">
                    <wp14:pctPosVOffset>30000</wp14:pctPosVOffset>
                  </wp:positionV>
                </mc:Choice>
                <mc:Fallback>
                  <wp:positionV relativeFrom="page">
                    <wp:posOffset>10052050</wp:posOffset>
                  </wp:positionV>
                </mc:Fallback>
              </mc:AlternateContent>
              <wp:extent cx="6573520" cy="35560"/>
              <wp:effectExtent l="0" t="0" r="5080" b="2540"/>
              <wp:wrapNone/>
              <wp:docPr id="321" name="组合 321"/>
              <wp:cNvGraphicFramePr/>
              <a:graphic xmlns:a="http://schemas.openxmlformats.org/drawingml/2006/main">
                <a:graphicData uri="http://schemas.microsoft.com/office/word/2010/wordprocessingGroup">
                  <wpg:wgp>
                    <wpg:cNvGrpSpPr/>
                    <wpg:grpSpPr>
                      <a:xfrm>
                        <a:off x="0" y="0"/>
                        <a:ext cx="6573520" cy="35560"/>
                        <a:chOff x="1065" y="16313"/>
                        <a:chExt cx="10352" cy="56"/>
                      </a:xfrm>
                    </wpg:grpSpPr>
                    <wps:wsp>
                      <wps:cNvPr id="322" name="直接连接符 20"/>
                      <wps:cNvCnPr/>
                      <wps:spPr>
                        <a:xfrm>
                          <a:off x="1065" y="16336"/>
                          <a:ext cx="10352" cy="11"/>
                        </a:xfrm>
                        <a:prstGeom prst="line">
                          <a:avLst/>
                        </a:prstGeom>
                        <a:ln>
                          <a:solidFill>
                            <a:schemeClr val="accent1">
                              <a:lumMod val="60000"/>
                              <a:lumOff val="40000"/>
                            </a:schemeClr>
                          </a:solidFill>
                        </a:ln>
                      </wps:spPr>
                      <wps:style>
                        <a:lnRef idx="2">
                          <a:schemeClr val="accent1"/>
                        </a:lnRef>
                        <a:fillRef idx="0">
                          <a:srgbClr val="FFFFFF"/>
                        </a:fillRef>
                        <a:effectRef idx="0">
                          <a:srgbClr val="FFFFFF"/>
                        </a:effectRef>
                        <a:fontRef idx="minor">
                          <a:schemeClr val="tx1"/>
                        </a:fontRef>
                      </wps:style>
                      <wps:bodyPr/>
                    </wps:wsp>
                    <wps:wsp>
                      <wps:cNvPr id="21" name="矩形 21"/>
                      <wps:cNvSpPr/>
                      <wps:spPr>
                        <a:xfrm>
                          <a:off x="10992" y="16313"/>
                          <a:ext cx="425" cy="57"/>
                        </a:xfrm>
                        <a:prstGeom prst="rect">
                          <a:avLst/>
                        </a:prstGeom>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85000</wp14:pctWidth>
              </wp14:sizeRelH>
              <wp14:sizeRelV relativeFrom="page">
                <wp14:pctHeight>0</wp14:pctHeight>
              </wp14:sizeRelV>
            </wp:anchor>
          </w:drawing>
        </mc:Choice>
        <mc:Fallback>
          <w:pict>
            <v:group id="_x0000_s1026" o:spid="_x0000_s1026" o:spt="203" style="position:absolute;left:0pt;margin-left:44.65pt;margin-top:791.5pt;height:2.8pt;width:517.6pt;mso-position-horizontal-relative:page;mso-position-vertical-relative:page;z-index:251659264;mso-width-relative:page;mso-height-relative:page;mso-width-percent:850;" coordorigin="1065,16313" coordsize="10352,56" o:gfxdata="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UvwoV9QAAAAEAQAADwAAAAAAAAABACAAAAAi&#10;AAAAZHJzL2Rvd25yZXYueG1sUEsBAhQAFAAAAAgAh07iQLWva1RkAwAAFggAAA4AAAAAAAAAAQAg&#10;AAAAIwEAAGRycy9lMm9Eb2MueG1sUEsFBgAAAAAGAAYAWQEAAPkGAAAAAA==&#10;">
              <o:lock v:ext="edit" aspectratio="f"/>
              <v:line id="直接连接符 20" o:spid="_x0000_s1026" o:spt="20" style="position:absolute;left:1065;top:16336;height:11;width:10352;" filled="f" stroked="t" coordsize="21600,21600" o:gfxdata="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1t8zr4A&#10;AADcAAAADwAAAAAAAAABACAAAAAiAAAAZHJzL2Rvd25yZXYueG1sUEsBAhQAFAAAAAgAh07iQDMv&#10;BZ47AAAAOQAAABAAAAAAAAAAAQAgAAAADQEAAGRycy9zaGFwZXhtbC54bWxQSwUGAAAAAAYABgBb&#10;AQAAtwMAAAAA&#10;">
                <v:fill on="f" focussize="0,0"/>
                <v:stroke weight="1pt" color="#91ACE0 [1940]" miterlimit="8" joinstyle="miter"/>
                <v:imagedata o:title=""/>
                <o:lock v:ext="edit" aspectratio="f"/>
              </v:line>
              <v:rect id="_x0000_s1026" o:spid="_x0000_s1026" o:spt="1" style="position:absolute;left:10992;top:16313;height:57;width:425;v-text-anchor:middle;" fillcolor="#4874CB [3204]" filled="t" stroked="f" coordsize="21600,21600" o:gfxdata="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Zd+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p>
  <w:p w14:paraId="1FA92B1C">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22C94">
    <w:pPr>
      <w:spacing w:line="173" w:lineRule="auto"/>
      <w:ind w:left="140"/>
      <w:rPr>
        <w:rFonts w:ascii="Times New Roman" w:hAnsi="Times New Roman" w:eastAsia="Times New Roman" w:cs="Times New Roman"/>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3E804">
    <w:pPr>
      <w:pStyle w:val="13"/>
    </w:pPr>
    <w:r>
      <mc:AlternateContent>
        <mc:Choice Requires="wps">
          <w:drawing>
            <wp:anchor distT="0" distB="0" distL="114300" distR="114300" simplePos="0" relativeHeight="251663360" behindDoc="0" locked="0" layoutInCell="1" allowOverlap="1">
              <wp:simplePos x="0" y="0"/>
              <wp:positionH relativeFrom="margin">
                <wp:align>right</wp:align>
              </wp:positionH>
              <mc:AlternateContent>
                <mc:Choice Requires="wp14">
                  <wp:positionV relativeFrom="bottomMargin">
                    <wp14:pctPosVOffset>10000</wp14:pctPosVOffset>
                  </wp:positionV>
                </mc:Choice>
                <mc:Fallback>
                  <wp:positionV relativeFrom="page">
                    <wp:posOffset>9869170</wp:posOffset>
                  </wp:positionV>
                </mc:Fallback>
              </mc:AlternateContent>
              <wp:extent cx="64135" cy="146050"/>
              <wp:effectExtent l="0" t="0" r="0" b="0"/>
              <wp:wrapNone/>
              <wp:docPr id="324" name="文本框 324"/>
              <wp:cNvGraphicFramePr/>
              <a:graphic xmlns:a="http://schemas.openxmlformats.org/drawingml/2006/main">
                <a:graphicData uri="http://schemas.microsoft.com/office/word/2010/wordprocessingShape">
                  <wps:wsp>
                    <wps:cNvSpPr txBox="1"/>
                    <wps:spPr>
                      <a:xfrm>
                        <a:off x="0" y="0"/>
                        <a:ext cx="64135" cy="146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4D91">
                          <w:pPr>
                            <w:pStyle w:val="13"/>
                            <w:rPr>
                              <w:b/>
                              <w:bCs/>
                            </w:rPr>
                          </w:pPr>
                          <w:r>
                            <w:rPr>
                              <w:b/>
                              <w:bCs/>
                            </w:rPr>
                            <w:fldChar w:fldCharType="begin"/>
                          </w:r>
                          <w:r>
                            <w:rPr>
                              <w:b/>
                              <w:bCs/>
                            </w:rPr>
                            <w:instrText xml:space="preserve"> PAGE  \* MERGEFORMAT </w:instrText>
                          </w:r>
                          <w:r>
                            <w:rPr>
                              <w:b/>
                              <w:bCs/>
                            </w:rPr>
                            <w:fldChar w:fldCharType="separate"/>
                          </w:r>
                          <w:r>
                            <w:rPr>
                              <w:b/>
                              <w:bCs/>
                            </w:rPr>
                            <w:t>1</w:t>
                          </w:r>
                          <w:r>
                            <w:rPr>
                              <w:b/>
                              <w:bCs/>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517.8pt;margin-top:777.1pt;height:11.5pt;width:5.05pt;mso-position-horizontal-relative:page;mso-position-vertical-relative:page;mso-wrap-style:none;z-index:251663360;mso-width-relative:page;mso-height-relative:page;" filled="f" stroked="f" coordsize="21600,21600" o:gfxdata="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PJZndEAAAADAQAADwAAAAAAAAABACAAAAAiAAAAZHJzL2Rvd25yZXYueG1sUEsBAhQAFAAA&#10;AAgAh07iQF6oA1YvAgAAVgQAAA4AAAAAAAAAAQAgAAAAIAEAAGRycy9lMm9Eb2MueG1sUEsFBgAA&#10;AAAGAAYAWQEAAMEFAAAAAA==&#10;">
              <v:fill on="f" focussize="0,0"/>
              <v:stroke on="f" weight="0.5pt"/>
              <v:imagedata o:title=""/>
              <o:lock v:ext="edit" aspectratio="f"/>
              <v:textbox inset="0mm,0mm,0mm,0mm" style="mso-fit-shape-to-text:t;">
                <w:txbxContent>
                  <w:p w14:paraId="7A514D91">
                    <w:pPr>
                      <w:pStyle w:val="13"/>
                      <w:rPr>
                        <w:b/>
                        <w:bCs/>
                      </w:rPr>
                    </w:pPr>
                    <w:r>
                      <w:rPr>
                        <w:b/>
                        <w:bCs/>
                      </w:rPr>
                      <w:fldChar w:fldCharType="begin"/>
                    </w:r>
                    <w:r>
                      <w:rPr>
                        <w:b/>
                        <w:bCs/>
                      </w:rPr>
                      <w:instrText xml:space="preserve"> PAGE  \* MERGEFORMAT </w:instrText>
                    </w:r>
                    <w:r>
                      <w:rPr>
                        <w:b/>
                        <w:bCs/>
                      </w:rPr>
                      <w:fldChar w:fldCharType="separate"/>
                    </w:r>
                    <w:r>
                      <w:rPr>
                        <w:b/>
                        <w:bCs/>
                      </w:rPr>
                      <w:t>1</w:t>
                    </w:r>
                    <w:r>
                      <w:rPr>
                        <w:b/>
                        <w:bCs/>
                      </w:rPr>
                      <w:fldChar w:fldCharType="end"/>
                    </w:r>
                  </w:p>
                </w:txbxContent>
              </v:textbox>
            </v:shape>
          </w:pict>
        </mc:Fallback>
      </mc:AlternateContent>
    </w:r>
    <w: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bottomMargin">
                    <wp14:pctPosVOffset>30000</wp14:pctPosVOffset>
                  </wp:positionV>
                </mc:Choice>
                <mc:Fallback>
                  <wp:positionV relativeFrom="page">
                    <wp:posOffset>10052050</wp:posOffset>
                  </wp:positionV>
                </mc:Fallback>
              </mc:AlternateContent>
              <wp:extent cx="6573520" cy="35560"/>
              <wp:effectExtent l="0" t="0" r="5080" b="2540"/>
              <wp:wrapNone/>
              <wp:docPr id="325" name="组合 325"/>
              <wp:cNvGraphicFramePr/>
              <a:graphic xmlns:a="http://schemas.openxmlformats.org/drawingml/2006/main">
                <a:graphicData uri="http://schemas.microsoft.com/office/word/2010/wordprocessingGroup">
                  <wpg:wgp>
                    <wpg:cNvGrpSpPr/>
                    <wpg:grpSpPr>
                      <a:xfrm>
                        <a:off x="0" y="0"/>
                        <a:ext cx="6573520" cy="35560"/>
                        <a:chOff x="1065" y="16313"/>
                        <a:chExt cx="10352" cy="56"/>
                      </a:xfrm>
                    </wpg:grpSpPr>
                    <wps:wsp>
                      <wps:cNvPr id="326" name="直接连接符 20"/>
                      <wps:cNvCnPr/>
                      <wps:spPr>
                        <a:xfrm>
                          <a:off x="1065" y="16336"/>
                          <a:ext cx="10352" cy="11"/>
                        </a:xfrm>
                        <a:prstGeom prst="line">
                          <a:avLst/>
                        </a:prstGeom>
                        <a:ln>
                          <a:solidFill>
                            <a:schemeClr val="accent1">
                              <a:lumMod val="60000"/>
                              <a:lumOff val="40000"/>
                            </a:schemeClr>
                          </a:solidFill>
                        </a:ln>
                      </wps:spPr>
                      <wps:style>
                        <a:lnRef idx="2">
                          <a:schemeClr val="accent1"/>
                        </a:lnRef>
                        <a:fillRef idx="0">
                          <a:srgbClr val="FFFFFF"/>
                        </a:fillRef>
                        <a:effectRef idx="0">
                          <a:srgbClr val="FFFFFF"/>
                        </a:effectRef>
                        <a:fontRef idx="minor">
                          <a:schemeClr val="tx1"/>
                        </a:fontRef>
                      </wps:style>
                      <wps:bodyPr/>
                    </wps:wsp>
                    <wps:wsp>
                      <wps:cNvPr id="327" name="矩形 21"/>
                      <wps:cNvSpPr/>
                      <wps:spPr>
                        <a:xfrm>
                          <a:off x="10992" y="16313"/>
                          <a:ext cx="425" cy="57"/>
                        </a:xfrm>
                        <a:prstGeom prst="rect">
                          <a:avLst/>
                        </a:prstGeom>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85000</wp14:pctWidth>
              </wp14:sizeRelH>
              <wp14:sizeRelV relativeFrom="page">
                <wp14:pctHeight>0</wp14:pctHeight>
              </wp14:sizeRelV>
            </wp:anchor>
          </w:drawing>
        </mc:Choice>
        <mc:Fallback>
          <w:pict>
            <v:group id="_x0000_s1026" o:spid="_x0000_s1026" o:spt="203" style="position:absolute;left:0pt;margin-left:44.65pt;margin-top:791.5pt;height:2.8pt;width:517.6pt;mso-position-horizontal-relative:page;mso-position-vertical-relative:page;z-index:251662336;mso-width-relative:page;mso-height-relative:page;mso-width-percent:850;" coordorigin="1065,16313" coordsize="10352,56" o:gfxdata="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FL8KFfUAAAABAEAAA8AAAAAAAAAAQAgAAAAIgAA&#10;AGRycy9kb3ducmV2LnhtbFBLAQIUABQAAAAIAIdO4kAPjQmiYgMAABcIAAAOAAAAAAAAAAEAIAAA&#10;ACMBAABkcnMvZTJvRG9jLnhtbFBLBQYAAAAABgAGAFkBAAD3BgAAAAA=&#10;">
              <o:lock v:ext="edit" aspectratio="f"/>
              <v:line id="直接连接符 20" o:spid="_x0000_s1026" o:spt="20" style="position:absolute;left:1065;top:16336;height:11;width:10352;" filled="f" stroked="t" coordsize="21600,21600" o:gfxdata="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ges2/&#10;AAAA3AAAAA8AAAAAAAAAAQAgAAAAIgAAAGRycy9kb3ducmV2LnhtbFBLAQIUABQAAAAIAIdO4kAz&#10;LwWeOwAAADkAAAAQAAAAAAAAAAEAIAAAAA4BAABkcnMvc2hhcGV4bWwueG1sUEsFBgAAAAAGAAYA&#10;WwEAALgDAAAAAA==&#10;">
                <v:fill on="f" focussize="0,0"/>
                <v:stroke weight="1pt" color="#91ACE0 [1940]" miterlimit="8" joinstyle="miter"/>
                <v:imagedata o:title=""/>
                <o:lock v:ext="edit" aspectratio="f"/>
              </v:line>
              <v:rect id="矩形 21" o:spid="_x0000_s1026" o:spt="1" style="position:absolute;left:10992;top:16313;height:57;width:425;v-text-anchor:middle;" fillcolor="#4874CB [3204]" filled="t" stroked="f" coordsize="21600,21600" o:gfxdata="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pJyq/&#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group>
          </w:pict>
        </mc:Fallback>
      </mc:AlternateContent>
    </w:r>
  </w:p>
  <w:p w14:paraId="66947EEF">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560"/>
      </w:pPr>
      <w:r>
        <w:separator/>
      </w:r>
    </w:p>
  </w:footnote>
  <w:footnote w:type="continuationSeparator" w:id="1">
    <w:p>
      <w:pPr>
        <w:spacing w:before="0" w:after="0"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A4978">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289DB"/>
    <w:multiLevelType w:val="singleLevel"/>
    <w:tmpl w:val="938289DB"/>
    <w:lvl w:ilvl="0" w:tentative="0">
      <w:start w:val="1"/>
      <w:numFmt w:val="decimal"/>
      <w:suff w:val="space"/>
      <w:lvlText w:val="%1."/>
      <w:lvlJc w:val="left"/>
      <w:pPr>
        <w:ind w:left="0" w:firstLine="0"/>
      </w:pPr>
      <w:rPr>
        <w:rFonts w:hint="default"/>
      </w:rPr>
    </w:lvl>
  </w:abstractNum>
  <w:abstractNum w:abstractNumId="1">
    <w:nsid w:val="D4125FB1"/>
    <w:multiLevelType w:val="singleLevel"/>
    <w:tmpl w:val="D4125FB1"/>
    <w:lvl w:ilvl="0" w:tentative="0">
      <w:start w:val="1"/>
      <w:numFmt w:val="chineseCounting"/>
      <w:suff w:val="space"/>
      <w:lvlText w:val="(%1)"/>
      <w:lvlJc w:val="left"/>
      <w:pPr>
        <w:ind w:left="0" w:firstLine="0"/>
      </w:pPr>
      <w:rPr>
        <w:rFonts w:hint="eastAsia"/>
      </w:rPr>
    </w:lvl>
  </w:abstractNum>
  <w:abstractNum w:abstractNumId="2">
    <w:nsid w:val="1E995ACF"/>
    <w:multiLevelType w:val="singleLevel"/>
    <w:tmpl w:val="1E995ACF"/>
    <w:lvl w:ilvl="0" w:tentative="0">
      <w:start w:val="1"/>
      <w:numFmt w:val="decimal"/>
      <w:suff w:val="space"/>
      <w:lvlText w:val="%1."/>
      <w:lvlJc w:val="left"/>
      <w:pPr>
        <w:ind w:left="0" w:firstLine="0"/>
      </w:pPr>
      <w:rPr>
        <w:rFonts w:hint="default"/>
      </w:rPr>
    </w:lvl>
  </w:abstractNum>
  <w:abstractNum w:abstractNumId="3">
    <w:nsid w:val="498F8080"/>
    <w:multiLevelType w:val="singleLevel"/>
    <w:tmpl w:val="498F8080"/>
    <w:lvl w:ilvl="0" w:tentative="0">
      <w:start w:val="1"/>
      <w:numFmt w:val="decimal"/>
      <w:suff w:val="space"/>
      <w:lvlText w:val="%1."/>
      <w:lvlJc w:val="left"/>
      <w:pPr>
        <w:ind w:left="0" w:firstLine="0"/>
      </w:pPr>
      <w:rPr>
        <w:rFonts w:hint="default"/>
      </w:rPr>
    </w:lvl>
  </w:abstractNum>
  <w:abstractNum w:abstractNumId="4">
    <w:nsid w:val="7360C7C1"/>
    <w:multiLevelType w:val="singleLevel"/>
    <w:tmpl w:val="7360C7C1"/>
    <w:lvl w:ilvl="0" w:tentative="0">
      <w:start w:val="1"/>
      <w:numFmt w:val="decimal"/>
      <w:suff w:val="space"/>
      <w:lvlText w:val="%1."/>
      <w:lvlJc w:val="left"/>
      <w:pPr>
        <w:ind w:left="0" w:firstLine="0"/>
      </w:pPr>
      <w:rPr>
        <w:rFont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1475F0B"/>
    <w:rsid w:val="0EFA0394"/>
    <w:rsid w:val="1AFA50BE"/>
    <w:rsid w:val="2C625CF0"/>
    <w:rsid w:val="40B66971"/>
    <w:rsid w:val="41D37CA5"/>
    <w:rsid w:val="48341C04"/>
    <w:rsid w:val="5BBC0EAA"/>
    <w:rsid w:val="79E406BD"/>
    <w:rsid w:val="7A320D06"/>
    <w:rsid w:val="7B09415C"/>
    <w:rsid w:val="7DA5320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autoSpaceDE/>
      <w:autoSpaceDN/>
      <w:adjustRightInd w:val="0"/>
      <w:snapToGrid w:val="0"/>
      <w:spacing w:before="50" w:beforeLines="50" w:after="50" w:afterLines="50" w:line="360" w:lineRule="auto"/>
      <w:ind w:firstLine="420" w:firstLineChars="200"/>
      <w:jc w:val="both"/>
      <w:textAlignment w:val="baseline"/>
    </w:pPr>
    <w:rPr>
      <w:rFonts w:ascii="Arial" w:hAnsi="Arial" w:eastAsia="仿宋_GB2312" w:cs="Arial"/>
      <w:snapToGrid w:val="0"/>
      <w:color w:val="000000"/>
      <w:kern w:val="0"/>
      <w:sz w:val="28"/>
      <w:szCs w:val="21"/>
      <w:lang w:val="en-US" w:eastAsia="en-US" w:bidi="ar-SA"/>
    </w:rPr>
  </w:style>
  <w:style w:type="paragraph" w:styleId="2">
    <w:name w:val="heading 1"/>
    <w:next w:val="1"/>
    <w:qFormat/>
    <w:uiPriority w:val="0"/>
    <w:pPr>
      <w:widowControl w:val="0"/>
      <w:adjustRightInd w:val="0"/>
      <w:spacing w:before="50" w:beforeLines="50" w:after="50" w:afterLines="50" w:line="300" w:lineRule="auto"/>
      <w:jc w:val="center"/>
      <w:outlineLvl w:val="0"/>
    </w:pPr>
    <w:rPr>
      <w:rFonts w:ascii="Times New Roman" w:hAnsi="Times New Roman" w:eastAsia="仿宋_GB2312" w:cs="Times New Roman"/>
      <w:b/>
      <w:color w:val="000000"/>
      <w:kern w:val="44"/>
      <w:sz w:val="32"/>
      <w:szCs w:val="44"/>
      <w:lang w:bidi="ar-SA"/>
    </w:rPr>
  </w:style>
  <w:style w:type="paragraph" w:styleId="3">
    <w:name w:val="heading 2"/>
    <w:next w:val="1"/>
    <w:unhideWhenUsed/>
    <w:qFormat/>
    <w:uiPriority w:val="0"/>
    <w:pPr>
      <w:widowControl w:val="0"/>
      <w:adjustRightInd w:val="0"/>
      <w:spacing w:before="10" w:after="150" w:afterLines="150" w:line="360" w:lineRule="auto"/>
      <w:jc w:val="left"/>
      <w:outlineLvl w:val="1"/>
    </w:pPr>
    <w:rPr>
      <w:rFonts w:ascii="Times New Roman" w:hAnsi="Times New Roman" w:eastAsia="仿宋_GB2312" w:cs="Times New Roman"/>
      <w:b/>
      <w:kern w:val="2"/>
      <w:sz w:val="32"/>
      <w:szCs w:val="32"/>
      <w:lang w:bidi="ar-SA"/>
    </w:rPr>
  </w:style>
  <w:style w:type="paragraph" w:styleId="4">
    <w:name w:val="heading 3"/>
    <w:next w:val="1"/>
    <w:unhideWhenUsed/>
    <w:qFormat/>
    <w:uiPriority w:val="0"/>
    <w:pPr>
      <w:keepNext/>
      <w:keepLines/>
      <w:widowControl w:val="0"/>
      <w:adjustRightInd w:val="0"/>
      <w:spacing w:before="50" w:beforeLines="50" w:after="50" w:afterLines="50" w:line="360" w:lineRule="auto"/>
      <w:jc w:val="left"/>
      <w:outlineLvl w:val="2"/>
    </w:pPr>
    <w:rPr>
      <w:rFonts w:ascii="Times New Roman" w:hAnsi="Times New Roman" w:eastAsia="仿宋_GB2312" w:cs="Times New Roman"/>
      <w:b/>
      <w:kern w:val="2"/>
      <w:sz w:val="30"/>
      <w:szCs w:val="24"/>
      <w:lang w:bidi="ar-SA"/>
    </w:rPr>
  </w:style>
  <w:style w:type="paragraph" w:styleId="5">
    <w:name w:val="heading 4"/>
    <w:next w:val="1"/>
    <w:unhideWhenUsed/>
    <w:qFormat/>
    <w:uiPriority w:val="0"/>
    <w:pPr>
      <w:keepNext/>
      <w:keepLines/>
      <w:widowControl w:val="0"/>
      <w:adjustRightInd w:val="0"/>
      <w:spacing w:line="360" w:lineRule="auto"/>
      <w:jc w:val="left"/>
      <w:outlineLvl w:val="3"/>
    </w:pPr>
    <w:rPr>
      <w:rFonts w:ascii="Times New Roman" w:hAnsi="Times New Roman" w:eastAsia="仿宋_GB2312" w:cs="Times New Roman"/>
      <w:b/>
      <w:bCs/>
      <w:kern w:val="2"/>
      <w:sz w:val="28"/>
      <w:szCs w:val="28"/>
      <w:lang w:bidi="ar-SA"/>
    </w:rPr>
  </w:style>
  <w:style w:type="paragraph" w:styleId="6">
    <w:name w:val="heading 5"/>
    <w:next w:val="1"/>
    <w:unhideWhenUsed/>
    <w:qFormat/>
    <w:uiPriority w:val="0"/>
    <w:pPr>
      <w:keepNext/>
      <w:keepLines/>
      <w:widowControl w:val="0"/>
      <w:adjustRightInd w:val="0"/>
      <w:spacing w:before="160" w:line="300" w:lineRule="auto"/>
      <w:jc w:val="both"/>
      <w:outlineLvl w:val="4"/>
    </w:pPr>
    <w:rPr>
      <w:rFonts w:ascii="Times New Roman" w:hAnsi="Times New Roman" w:eastAsia="黑体" w:cs="Times New Roman"/>
      <w:bCs/>
      <w:kern w:val="2"/>
      <w:sz w:val="28"/>
      <w:szCs w:val="28"/>
      <w:lang w:bidi="ar-SA"/>
    </w:rPr>
  </w:style>
  <w:style w:type="paragraph" w:styleId="7">
    <w:name w:val="heading 6"/>
    <w:next w:val="1"/>
    <w:unhideWhenUsed/>
    <w:qFormat/>
    <w:uiPriority w:val="0"/>
    <w:pPr>
      <w:keepNext/>
      <w:keepLines/>
      <w:widowControl w:val="0"/>
      <w:adjustRightInd w:val="0"/>
      <w:spacing w:before="120" w:line="300" w:lineRule="auto"/>
      <w:jc w:val="both"/>
      <w:outlineLvl w:val="5"/>
    </w:pPr>
    <w:rPr>
      <w:rFonts w:ascii="Times New Roman" w:hAnsi="Times New Roman" w:eastAsia="黑体" w:cs="Times New Roman"/>
      <w:bCs/>
      <w:kern w:val="2"/>
      <w:sz w:val="28"/>
      <w:szCs w:val="24"/>
      <w:lang w:bidi="ar-SA"/>
    </w:rPr>
  </w:style>
  <w:style w:type="paragraph" w:styleId="8">
    <w:name w:val="heading 7"/>
    <w:next w:val="1"/>
    <w:semiHidden/>
    <w:unhideWhenUsed/>
    <w:qFormat/>
    <w:uiPriority w:val="0"/>
    <w:pPr>
      <w:keepNext/>
      <w:keepLines/>
      <w:widowControl w:val="0"/>
      <w:adjustRightInd w:val="0"/>
      <w:spacing w:before="120" w:line="300" w:lineRule="auto"/>
      <w:jc w:val="both"/>
      <w:outlineLvl w:val="6"/>
    </w:pPr>
    <w:rPr>
      <w:rFonts w:ascii="Times New Roman" w:hAnsi="Times New Roman" w:eastAsia="黑体" w:cs="Times New Roman"/>
      <w:bCs/>
      <w:kern w:val="2"/>
      <w:sz w:val="24"/>
      <w:szCs w:val="24"/>
      <w:lang w:bidi="ar-SA"/>
    </w:rPr>
  </w:style>
  <w:style w:type="paragraph" w:styleId="9">
    <w:name w:val="heading 8"/>
    <w:next w:val="1"/>
    <w:semiHidden/>
    <w:unhideWhenUsed/>
    <w:qFormat/>
    <w:uiPriority w:val="0"/>
    <w:pPr>
      <w:keepNext/>
      <w:keepLines/>
      <w:widowControl w:val="0"/>
      <w:adjustRightInd w:val="0"/>
      <w:spacing w:before="120" w:line="300" w:lineRule="auto"/>
      <w:jc w:val="both"/>
      <w:outlineLvl w:val="7"/>
    </w:pPr>
    <w:rPr>
      <w:rFonts w:ascii="Times New Roman" w:hAnsi="Times New Roman" w:eastAsia="黑体" w:cs="Times New Roman"/>
      <w:kern w:val="2"/>
      <w:sz w:val="24"/>
      <w:szCs w:val="24"/>
      <w:lang w:bidi="ar-SA"/>
    </w:rPr>
  </w:style>
  <w:style w:type="paragraph" w:styleId="10">
    <w:name w:val="heading 9"/>
    <w:next w:val="1"/>
    <w:semiHidden/>
    <w:unhideWhenUsed/>
    <w:qFormat/>
    <w:uiPriority w:val="0"/>
    <w:pPr>
      <w:keepNext/>
      <w:keepLines/>
      <w:widowControl w:val="0"/>
      <w:adjustRightInd w:val="0"/>
      <w:spacing w:before="120" w:line="300" w:lineRule="auto"/>
      <w:jc w:val="both"/>
      <w:outlineLvl w:val="8"/>
    </w:pPr>
    <w:rPr>
      <w:rFonts w:ascii="Times New Roman" w:hAnsi="Times New Roman" w:eastAsia="黑体" w:cs="Times New Roman"/>
      <w:kern w:val="2"/>
      <w:sz w:val="21"/>
      <w:szCs w:val="21"/>
      <w:lang w:bidi="ar-SA"/>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11">
    <w:name w:val="Body Text"/>
    <w:qFormat/>
    <w:uiPriority w:val="0"/>
    <w:pPr>
      <w:widowControl w:val="0"/>
      <w:adjustRightInd w:val="0"/>
      <w:spacing w:before="100" w:after="100" w:afterLines="0" w:afterAutospacing="0" w:line="300" w:lineRule="auto"/>
      <w:ind w:firstLine="0" w:firstLineChars="0"/>
      <w:jc w:val="center"/>
    </w:pPr>
    <w:rPr>
      <w:rFonts w:ascii="Times New Roman" w:hAnsi="Times New Roman" w:eastAsia="宋体" w:cs="Times New Roman"/>
      <w:kern w:val="2"/>
      <w:sz w:val="24"/>
      <w:szCs w:val="24"/>
      <w:lang w:bidi="ar-SA"/>
    </w:rPr>
  </w:style>
  <w:style w:type="paragraph" w:styleId="12">
    <w:name w:val="toc 3"/>
    <w:basedOn w:val="1"/>
    <w:next w:val="1"/>
    <w:uiPriority w:val="0"/>
    <w:pPr>
      <w:ind w:left="840" w:leftChars="4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Subtitle"/>
    <w:qFormat/>
    <w:uiPriority w:val="0"/>
    <w:pPr>
      <w:widowControl w:val="0"/>
      <w:adjustRightInd w:val="0"/>
      <w:spacing w:before="100" w:after="100" w:line="240" w:lineRule="auto"/>
      <w:jc w:val="center"/>
      <w:outlineLvl w:val="9"/>
    </w:pPr>
    <w:rPr>
      <w:rFonts w:ascii="Times New Roman" w:hAnsi="Times New Roman" w:eastAsia="黑体" w:cs="Times New Roman"/>
      <w:kern w:val="28"/>
      <w:sz w:val="32"/>
      <w:szCs w:val="24"/>
      <w:lang w:bidi="ar-SA"/>
    </w:rPr>
  </w:style>
  <w:style w:type="paragraph" w:styleId="17">
    <w:name w:val="toc 2"/>
    <w:basedOn w:val="1"/>
    <w:next w:val="1"/>
    <w:uiPriority w:val="0"/>
    <w:pPr>
      <w:ind w:left="420" w:leftChars="200"/>
    </w:pPr>
  </w:style>
  <w:style w:type="paragraph" w:styleId="18">
    <w:name w:val="Title"/>
    <w:qFormat/>
    <w:uiPriority w:val="0"/>
    <w:pPr>
      <w:widowControl w:val="0"/>
      <w:adjustRightInd w:val="0"/>
      <w:spacing w:before="100" w:beforeAutospacing="0" w:after="100" w:afterAutospacing="0" w:line="240" w:lineRule="auto"/>
      <w:jc w:val="center"/>
      <w:outlineLvl w:val="9"/>
    </w:pPr>
    <w:rPr>
      <w:rFonts w:ascii="Times New Roman" w:hAnsi="Times New Roman" w:eastAsia="黑体" w:cs="Times New Roman"/>
      <w:kern w:val="2"/>
      <w:sz w:val="36"/>
      <w:szCs w:val="24"/>
      <w:lang w:bidi="ar-SA"/>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Table Text"/>
    <w:basedOn w:val="1"/>
    <w:semiHidden/>
    <w:qFormat/>
    <w:uiPriority w:val="0"/>
    <w:rPr>
      <w:rFonts w:ascii="宋体" w:hAnsi="宋体" w:eastAsia="宋体" w:cs="宋体"/>
      <w:sz w:val="16"/>
      <w:szCs w:val="16"/>
      <w:lang w:val="en-US" w:eastAsia="en-US" w:bidi="ar-SA"/>
    </w:rPr>
  </w:style>
  <w:style w:type="paragraph" w:customStyle="1" w:styleId="23">
    <w:name w:val="章标题"/>
    <w:next w:val="1"/>
    <w:qFormat/>
    <w:uiPriority w:val="0"/>
    <w:pPr>
      <w:widowControl w:val="0"/>
      <w:adjustRightInd w:val="0"/>
      <w:spacing w:before="100" w:after="100" w:line="360" w:lineRule="auto"/>
      <w:jc w:val="center"/>
      <w:outlineLvl w:val="0"/>
    </w:pPr>
    <w:rPr>
      <w:rFonts w:ascii="Times New Roman" w:hAnsi="Times New Roman" w:eastAsia="黑体" w:cs="Times New Roman"/>
      <w:kern w:val="44"/>
      <w:sz w:val="36"/>
      <w:szCs w:val="44"/>
      <w:lang w:bidi="ar-SA"/>
    </w:rPr>
  </w:style>
  <w:style w:type="paragraph" w:customStyle="1" w:styleId="24">
    <w:name w:val="题注1"/>
    <w:next w:val="1"/>
    <w:qFormat/>
    <w:uiPriority w:val="0"/>
    <w:pPr>
      <w:widowControl w:val="0"/>
      <w:adjustRightInd w:val="0"/>
      <w:spacing w:before="240" w:after="120" w:line="288" w:lineRule="auto"/>
      <w:jc w:val="center"/>
    </w:pPr>
    <w:rPr>
      <w:rFonts w:ascii="Times New Roman" w:hAnsi="Times New Roman" w:eastAsia="宋体" w:cs="宋体"/>
      <w:kern w:val="2"/>
      <w:sz w:val="24"/>
      <w:szCs w:val="22"/>
      <w:lang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标题"/>
    </customSectPr>
    <customSectPr>
      <sectNamePr val="前言"/>
    </customSectPr>
    <customSectPr>
      <sectNamePr val="目录"/>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37</Pages>
  <Words>13098</Words>
  <Characters>16184</Characters>
  <TotalTime>1</TotalTime>
  <ScaleCrop>false</ScaleCrop>
  <LinksUpToDate>false</LinksUpToDate>
  <CharactersWithSpaces>16366</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2025-10-27T12:06:00Z</dcterms:created>
  <dc:creator>85717</dc:creator>
  <cp:lastModifiedBy>张友明</cp:lastModifiedBy>
  <dcterms:modified xsi:type="dcterms:W3CDTF">2025-10-29T23:03:19Z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2025-10-27T12:06:23Z</vt:filetime>
  </property>
  <property fmtid="{D5CDD505-2E9C-101B-9397-08002B2CF9AE}" pid="4" name="UsrData">
    <vt:lpwstr>68feefb410e070001f9fd995wl</vt:lpwstr>
  </property>
  <property fmtid="{D5CDD505-2E9C-101B-9397-08002B2CF9AE}" pid="5" name="KSOTemplateDocerSaveRecord">
    <vt:lpwstr>eyJoZGlkIjoiM2FhNjIyMmFiNDA4NjdkZjZjNTgzY2E2YmVlYzQzYTEiLCJ1c2VySWQiOiIxMTMyOTI3OTg5In0=</vt:lpwstr>
  </property>
  <property fmtid="{D5CDD505-2E9C-101B-9397-08002B2CF9AE}" pid="6" name="KSOProductBuildVer">
    <vt:lpwstr>2052-12.1.0.23125</vt:lpwstr>
  </property>
  <property fmtid="{D5CDD505-2E9C-101B-9397-08002B2CF9AE}" pid="7" name="ICV">
    <vt:lpwstr>14EEAF48AC7B46D7B05461292AB11ECF_13</vt:lpwstr>
  </property>
</Properties>
</file>